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both"/>
        <w:outlineLvl w:val="0"/>
        <w:rPr>
          <w:rFonts w:hint="eastAsia" w:ascii="方正小标宋_GBK" w:hAnsi="方正小标宋_GBK" w:eastAsia="方正小标宋_GBK" w:cs="方正小标宋_GBK"/>
          <w:sz w:val="32"/>
          <w:szCs w:val="32"/>
          <w:u w:val="none"/>
          <w:lang w:val="zh-CN"/>
        </w:rPr>
      </w:pPr>
      <w:bookmarkStart w:id="6" w:name="_GoBack"/>
      <w:bookmarkStart w:id="0" w:name="_Toc285612594"/>
      <w:bookmarkStart w:id="1" w:name="_Toc435540979"/>
      <w:bookmarkStart w:id="2" w:name="_Toc390713967"/>
      <w:bookmarkStart w:id="3" w:name="_Toc27097"/>
      <w:r>
        <w:rPr>
          <w:rFonts w:hint="eastAsia" w:ascii="仿宋" w:hAnsi="仿宋" w:eastAsia="仿宋" w:cs="Times New Roman"/>
          <w:b/>
          <w:bCs/>
          <w:color w:val="auto"/>
          <w:sz w:val="28"/>
          <w:szCs w:val="28"/>
          <w:highlight w:val="none"/>
          <w:u w:val="none"/>
          <w:lang w:eastAsia="zh-CN"/>
        </w:rPr>
        <w:t>附件：安庆市疾病预防控制中心放射卫生检测设备采购项目</w:t>
      </w:r>
      <w:r>
        <w:rPr>
          <w:rFonts w:hint="eastAsia" w:ascii="仿宋" w:hAnsi="仿宋" w:eastAsia="仿宋" w:cs="Times New Roman"/>
          <w:b/>
          <w:bCs/>
          <w:color w:val="auto"/>
          <w:sz w:val="28"/>
          <w:szCs w:val="28"/>
          <w:highlight w:val="none"/>
          <w:u w:val="none"/>
          <w:lang w:val="zh-CN" w:eastAsia="zh-CN"/>
        </w:rPr>
        <w:t>技术和商务要求</w:t>
      </w:r>
      <w:bookmarkEnd w:id="0"/>
      <w:bookmarkEnd w:id="1"/>
      <w:bookmarkEnd w:id="2"/>
      <w:bookmarkEnd w:id="3"/>
    </w:p>
    <w:bookmarkEnd w:id="6"/>
    <w:p>
      <w:pPr>
        <w:pStyle w:val="5"/>
        <w:rPr>
          <w:rFonts w:hint="eastAsia"/>
          <w:lang w:val="zh-CN"/>
        </w:rPr>
      </w:pPr>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4" w:name="_Toc24273"/>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4"/>
    <w:p>
      <w:pPr>
        <w:pStyle w:val="11"/>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5"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9"/>
        <w:tblpPr w:leftFromText="180" w:rightFromText="180" w:vertAnchor="text" w:horzAnchor="page" w:tblpX="1527" w:tblpY="235"/>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1249"/>
        <w:gridCol w:w="5592"/>
        <w:gridCol w:w="746"/>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辐射剂量率测量仪</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1.★便携式、多功能、宽量程: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（1）连续X和γ辐射剂量率范围50nSv/h-10Sv/h；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（2）短时辐射（照射时间不小于30ms）的剂量率范围5μSv/h-10Sv/h；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（3）脉冲辐射的剂量率范围0.1μv/h-10Sv/h；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（4）周围剂量当量测量范围50nSv-10Sv。</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2.★可探测短时辐射和脉冲辐射：最小脉冲时间（剂量率达到1.3Sv/s）10ns；最小脉冲时间（短时辐射）30ms。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3.★能量范围0.015~10MeV</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4.连续和短时剂量和剂量率测量误差±15%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5.具备γ、β辐射源搜索功能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6.具备声光报警功能，可设置报警阈值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7.装箱清单：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（1）主机                   1台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（2）可更换平衡帽           1套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（3）充电电源适配器         1套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（4）使用说明书             1份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 w:hAnsi="仿宋" w:eastAsia="仿宋" w:cs="仿宋"/>
                <w:snapToGrid w:val="0"/>
                <w:lang w:val="en-US" w:eastAsia="zh-CN"/>
              </w:rPr>
              <w:t>（5）便携背带和便携箱       1套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表面污染测量仪</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1.★探测器类型：薄层塑料闪烁体，探测器带有ZnS涂层，聚酯薄膜和多孔底板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w:t>
            </w:r>
            <w:r>
              <w:rPr>
                <w:rFonts w:hint="eastAsia" w:ascii="仿宋" w:hAnsi="仿宋" w:eastAsia="仿宋" w:cs="仿宋"/>
                <w:snapToGrid w:val="0"/>
                <w:lang w:val="en-US" w:eastAsia="zh-CN"/>
              </w:rPr>
              <w:t>★探测器尺寸：≥170cm2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3.本底：α：约0.1cps；β、γ：约15 ~ 25cps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4.★本底扣除：净计数或毛计数，可选，自动BG扣除，BG测量时间可设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5.报警：对每个核素或计数率的阈值可分开设置，声光报警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6.测量结果显示：以cps或与核素相关联的Bq或Bq/cm2显示。作为替换的显示方式：图表显示计数率，作为时间的函数。剂量率探头测量值以n/μ/mSv/h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7.核素：25个核素，预设刻度因子，用户可更改，双核素测量，集成自动刻度功能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8.测量时间：自动连续测量或自定义时间测量（固定可选的测量时间或在静态模式下根据预设的误差限值计算测量时间），单位为秒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9.显示：大面积图表LCD显示，带照明，可设置照明时间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10.接口：RS232串口（PC，printer），快速充电操作，外部探测器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探测效率（测量面积为100cm2源的结果平均值）：14C-14%，18F-18%，32P-25%，35S-12%，36Cl-42%，40K-30%，57Co-7%，60Co-23%，89Sr-27%，90Sr/90Y-42%，99mTc-3%，111In-8%，123I-7%，125I-12%，131I-21%，137Cs-35%，198Au-23%，204Tl-43%，241Am-18%，238Pu-18%，238U-22%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12.装箱清单：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（1）主机                   1台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（2）配套电池               1套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（3）使用说明书             1份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（4）便携箱                 1个</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个人剂量报警仪</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1.探测器：</w:t>
            </w:r>
            <w:r>
              <w:rPr>
                <w:rFonts w:hint="eastAsia" w:ascii="仿宋" w:hAnsi="仿宋" w:eastAsia="仿宋" w:cs="仿宋"/>
                <w:snapToGrid w:val="0"/>
                <w:lang w:val="en-US" w:eastAsia="zh-CN"/>
              </w:rPr>
              <w:tab/>
            </w:r>
            <w:r>
              <w:rPr>
                <w:rFonts w:hint="eastAsia" w:ascii="仿宋" w:hAnsi="仿宋" w:eastAsia="仿宋" w:cs="仿宋"/>
                <w:snapToGrid w:val="0"/>
                <w:lang w:val="en-US" w:eastAsia="zh-CN"/>
              </w:rPr>
              <w:t>能量补偿型GM计数管；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2.测量范围：剂量当量率：0.01μSv/h～1mSv/h；累积剂量当量：0.00μSv～999.9Sv；</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3.★灵敏度：</w:t>
            </w:r>
            <w:r>
              <w:rPr>
                <w:rFonts w:hint="eastAsia" w:ascii="仿宋" w:hAnsi="仿宋" w:eastAsia="仿宋" w:cs="仿宋"/>
                <w:snapToGrid w:val="0"/>
                <w:lang w:val="en-US" w:eastAsia="zh-CN"/>
              </w:rPr>
              <w:tab/>
            </w:r>
            <w:r>
              <w:rPr>
                <w:rFonts w:hint="eastAsia" w:ascii="仿宋" w:hAnsi="仿宋" w:eastAsia="仿宋" w:cs="仿宋"/>
                <w:snapToGrid w:val="0"/>
                <w:lang w:val="en-US" w:eastAsia="zh-CN"/>
              </w:rPr>
              <w:t>&gt;1.5CPS/uSv/h（相对于137Cs）；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4.★报警声强度：＞80dB（30cm内），提供第三方权威机构的检验报告。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5.能量响应：48keV～3.0MeV；</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6.★仪器从1m高度任意一面跌落，不影响仪器使用，提供第三方权威机构的检验报告。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7.相对误差：＜5%（在1mSv/h时）；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8.电源功耗：2节7号干电池；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9.★仪器需拥有产品计量器具型式批准证书。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10★仪器需符合《电磁兼容试验和测量技术静电放电抗扰度试验》标准，可通过静电放电抗扰度试验，提供省级或以上检验机构出具的检验报告；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11★仪器需符合《电磁兼容试验和测量技术射频电磁场辐射抗扰度试验》标准，可通过射频电磁场辐射抗扰度试验，提供省级或以上检验机构出具的检验报告；</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4"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85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3.需提供技术证明文件之一</w:t>
            </w:r>
            <w:r>
              <w:rPr>
                <w:rFonts w:hint="eastAsia" w:ascii="仿宋" w:hAnsi="仿宋" w:eastAsia="仿宋" w:cs="Times New Roman"/>
                <w:sz w:val="22"/>
                <w:szCs w:val="22"/>
                <w:lang w:val="en-US" w:eastAsia="zh-CN"/>
              </w:rPr>
              <w:t>（医疗器械注册证、医疗器械注册登记表、第三方检测报告、产品技术白皮书、产品使用说明书、产品彩页及实物图片）予以</w:t>
            </w:r>
            <w:r>
              <w:rPr>
                <w:rFonts w:hint="eastAsia" w:ascii="仿宋" w:hAnsi="仿宋" w:eastAsia="仿宋" w:cs="Times New Roman"/>
                <w:b/>
                <w:bCs/>
                <w:sz w:val="22"/>
                <w:szCs w:val="22"/>
                <w:lang w:val="en-US" w:eastAsia="zh-CN"/>
              </w:rPr>
              <w:t>证明所提供的产品符合以上技术要求。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napToGrid w:val="0"/>
                <w:lang w:val="en-US" w:eastAsia="zh-CN"/>
              </w:rPr>
            </w:pPr>
            <w:r>
              <w:rPr>
                <w:rFonts w:hint="eastAsia" w:ascii="仿宋" w:hAnsi="仿宋" w:eastAsia="仿宋" w:cs="Times New Roman"/>
                <w:sz w:val="22"/>
                <w:szCs w:val="22"/>
                <w:lang w:val="en-US" w:eastAsia="zh-CN"/>
              </w:rPr>
              <w:t>5.本项目所需要各类证明材料，成交人需在10个日历天内提供原件（须加盖公章），若成交人未在招标文件要求的期限内提供证明材料或成交人提供的证明材料不能完全符合询价文件要求，则视为虚假响应；</w:t>
            </w:r>
          </w:p>
        </w:tc>
      </w:tr>
      <w:bookmarkEnd w:id="5"/>
    </w:tbl>
    <w:p>
      <w:pPr>
        <w:pStyle w:val="11"/>
        <w:widowControl w:val="0"/>
        <w:numPr>
          <w:ilvl w:val="0"/>
          <w:numId w:val="2"/>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（三）售后服务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w:t>
      </w:r>
      <w:r>
        <w:rPr>
          <w:rFonts w:hint="eastAsia" w:ascii="仿宋" w:hAnsi="仿宋" w:eastAsia="仿宋" w:cs="仿宋"/>
          <w:snapToGrid w:val="0"/>
          <w:highlight w:val="yellow"/>
          <w:lang w:val="en-US" w:eastAsia="zh-CN"/>
        </w:rPr>
        <w:t>应在15个日</w:t>
      </w:r>
      <w:r>
        <w:rPr>
          <w:rFonts w:hint="eastAsia" w:ascii="仿宋" w:hAnsi="仿宋" w:eastAsia="仿宋" w:cs="仿宋"/>
          <w:snapToGrid w:val="0"/>
          <w:lang w:val="en-US" w:eastAsia="zh-CN"/>
        </w:rPr>
        <w:t>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2" w:firstLineChars="200"/>
        <w:rPr>
          <w:rFonts w:hint="eastAsia" w:ascii="仿宋" w:hAnsi="仿宋" w:eastAsia="仿宋" w:cs="仿宋"/>
          <w:b/>
          <w:bCs/>
          <w:lang w:val="en-US" w:eastAsia="zh-CN"/>
        </w:rPr>
      </w:pPr>
      <w:r>
        <w:rPr>
          <w:rFonts w:hint="eastAsia" w:ascii="仿宋" w:hAnsi="仿宋" w:eastAsia="仿宋" w:cs="仿宋"/>
          <w:b/>
          <w:bCs/>
          <w:lang w:val="en-US" w:eastAsia="zh-CN"/>
        </w:rPr>
        <w:t>1.成交供应商需提供产品的检定证书。</w:t>
      </w:r>
    </w:p>
    <w:p>
      <w:pPr>
        <w:spacing w:line="400" w:lineRule="exact"/>
        <w:ind w:firstLine="48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255F3A5A"/>
    <w:rsid w:val="255F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customStyle="1" w:styleId="11">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2022-09-05T07:00:00Z</dcterms:created>
  <dc:creator>花开无叶，叶生无花</dc:creator>
  <cp:lastModifiedBy>花开无叶，叶生无花</cp:lastModifiedBy>
  <dcterms:modified xsi:type="dcterms:W3CDTF">2022-09-05T07:06:21Z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C4595859621C4A68AD2BE62BE5AA3D7C</vt:lpwstr>
  </property>
</Properties>
</file>