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jc w:val="both"/>
        <w:outlineLvl w:val="0"/>
        <w:rPr>
          <w:rFonts w:hint="eastAsia" w:ascii="仿宋" w:hAnsi="仿宋" w:eastAsia="仿宋" w:cs="仿宋"/>
          <w:b/>
          <w:bCs/>
          <w:kern w:val="2"/>
          <w:sz w:val="28"/>
          <w:szCs w:val="28"/>
          <w:lang w:val="zh-CN" w:eastAsia="zh-CN"/>
        </w:rPr>
      </w:pPr>
      <w:bookmarkStart w:id="0" w:name="_Toc20590"/>
      <w:bookmarkStart w:id="1" w:name="_Toc3059"/>
      <w:r>
        <w:rPr>
          <w:rFonts w:hint="eastAsia" w:ascii="仿宋" w:hAnsi="仿宋" w:eastAsia="仿宋" w:cs="仿宋"/>
          <w:b/>
          <w:bCs/>
          <w:kern w:val="2"/>
          <w:sz w:val="28"/>
          <w:szCs w:val="28"/>
          <w:lang w:val="zh-CN" w:eastAsia="zh-CN"/>
        </w:rPr>
        <w:t>附件：</w:t>
      </w:r>
      <w:r>
        <w:rPr>
          <w:rFonts w:hint="eastAsia" w:ascii="仿宋" w:hAnsi="仿宋" w:eastAsia="仿宋" w:cs="仿宋"/>
          <w:b/>
          <w:bCs/>
          <w:kern w:val="2"/>
          <w:sz w:val="28"/>
          <w:szCs w:val="28"/>
          <w:lang w:val="zh-CN" w:eastAsia="zh-CN"/>
        </w:rPr>
        <w:t>安庆市疾病预防控制中心生物安全柜采购项目(三次)</w:t>
      </w:r>
      <w:r>
        <w:rPr>
          <w:rFonts w:hint="eastAsia" w:ascii="仿宋" w:hAnsi="仿宋" w:eastAsia="仿宋" w:cs="仿宋"/>
          <w:b/>
          <w:bCs/>
          <w:kern w:val="2"/>
          <w:sz w:val="28"/>
          <w:szCs w:val="28"/>
          <w:lang w:val="zh-CN" w:eastAsia="zh-CN"/>
        </w:rPr>
        <w:t>服务需求及技术要求</w:t>
      </w:r>
      <w:bookmarkEnd w:id="0"/>
      <w:bookmarkEnd w:id="1"/>
    </w:p>
    <w:p>
      <w:pPr>
        <w:pStyle w:val="3"/>
        <w:adjustRightInd w:val="0"/>
        <w:snapToGrid w:val="0"/>
        <w:spacing w:line="400" w:lineRule="exact"/>
        <w:rPr>
          <w:rFonts w:hint="eastAsia" w:hAnsi="宋体"/>
          <w:b/>
          <w:color w:val="000000"/>
          <w:szCs w:val="24"/>
        </w:rPr>
      </w:pPr>
      <w:bookmarkStart w:id="4" w:name="_GoBack"/>
      <w:bookmarkEnd w:id="4"/>
    </w:p>
    <w:p>
      <w:pPr>
        <w:pStyle w:val="3"/>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3"/>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2" w:name="_Toc24273"/>
    </w:p>
    <w:p>
      <w:pPr>
        <w:pStyle w:val="3"/>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2"/>
    <w:p>
      <w:pPr>
        <w:pStyle w:val="6"/>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3"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5926"/>
        <w:gridCol w:w="570"/>
        <w:gridCol w:w="486"/>
        <w:gridCol w:w="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91"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47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334"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85" w:type="pct"/>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1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1" w:hRule="atLeast"/>
        </w:trPr>
        <w:tc>
          <w:tcPr>
            <w:tcW w:w="59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生物安全柜</w:t>
            </w:r>
          </w:p>
        </w:tc>
        <w:tc>
          <w:tcPr>
            <w:tcW w:w="347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1.气流模式须达到30%外排、70%循环要求；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2.流入气流平均风速0.53±0.025m/s，下降气流平均风速0.35±0.025m/s；</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★3.配有超高效空气过滤器，可过滤直径为0.12µm及以上的颗粒，过滤效率不低于99.999%；</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sz w:val="22"/>
                <w:szCs w:val="22"/>
                <w:lang w:val="en-US" w:eastAsia="zh-CN"/>
              </w:rPr>
              <w:t>★4.标配在线实时监测并条形码显示高效过滤器的使用寿命，具有过滤器失效声光报警功能</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★5.单风机设计，风速可自动调节，能与风速传感器联动，与风速传感器联动</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sz w:val="22"/>
                <w:szCs w:val="22"/>
                <w:lang w:val="en-US" w:eastAsia="zh-CN"/>
              </w:rPr>
              <w:t>★6.工作区和外排出风口处各配备一个微风速传感器，非压差传感器，真实、实时检测风速</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7.LCD液晶屏显示，可显示工作区温度、气流流速、时间、过滤膜使用寿命等系统参数；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8.主机标配温度传感器：可实时检测并显示温度，监测风机运行及操作区安全状态；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9.前窗采用手动升降方式，具有安全高度上、下限位声光报警提示；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10.工作区三侧壁板为一体化成型，304不锈钢材质，双层侧壁形成负压保护；</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11.整个工作台面下对应面积全部为集液槽，304不锈钢，有排污阀，方便清洗消毒；</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12.玻璃前窗采用安全钢化玻璃，具有防爆、防碎及防紫外的功能；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★13、紫外灯和日光灯不得安装在工作区背面或工作区侧面，避免直接照射到操作人员，同时具有紫外灯预约功能，可预约紫外灯自动开启/关闭时间、灭菌时间，减少等待时；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14. 出厂前须通过压力衰减法检测：加压到500Pa，保持30min后气压不低于450Pa；</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★15.通过KI-Discus 碘化钾法测试，前窗操作口的保护因子不小于1×105</w:t>
            </w:r>
            <w:r>
              <w:rPr>
                <w:rFonts w:hint="eastAsia" w:ascii="仿宋" w:hAnsi="仿宋" w:eastAsia="仿宋" w:cs="Times New Roman"/>
                <w:b/>
                <w:bCs/>
                <w:sz w:val="22"/>
                <w:szCs w:val="22"/>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 xml:space="preserve">16.安全性能保障：具备紫外系统、荧光灯、前窗的连锁系统；具备低风速报警功能；具备前窗位置异位报警功能；具备前窗侧壁抗扰流系统，可避免泄漏；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17.柜内电源：双防水插座设计；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18.具有水阀、气阀、真空阀等阀门预留孔；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sz w:val="24"/>
                <w:szCs w:val="24"/>
                <w:lang w:val="en-US" w:eastAsia="zh-CN"/>
              </w:rPr>
            </w:pPr>
            <w:r>
              <w:rPr>
                <w:rFonts w:hint="eastAsia" w:ascii="仿宋" w:hAnsi="仿宋" w:eastAsia="仿宋" w:cs="Times New Roman"/>
                <w:sz w:val="22"/>
                <w:szCs w:val="22"/>
                <w:lang w:val="en-US" w:eastAsia="zh-CN"/>
              </w:rPr>
              <w:t>★19.外形尺寸宽度≤1800mm，工作区内部工作尺寸宽度要求≥1600mm；</w:t>
            </w:r>
          </w:p>
        </w:tc>
        <w:tc>
          <w:tcPr>
            <w:tcW w:w="334" w:type="pct"/>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台</w:t>
            </w:r>
          </w:p>
        </w:tc>
        <w:tc>
          <w:tcPr>
            <w:tcW w:w="285" w:type="pct"/>
            <w:tcBorders>
              <w:top w:val="single" w:color="auto"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2</w:t>
            </w:r>
          </w:p>
        </w:tc>
        <w:tc>
          <w:tcPr>
            <w:tcW w:w="311"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7" w:hRule="atLeast"/>
        </w:trPr>
        <w:tc>
          <w:tcPr>
            <w:tcW w:w="591"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说  明</w:t>
            </w:r>
          </w:p>
        </w:tc>
        <w:tc>
          <w:tcPr>
            <w:tcW w:w="4408" w:type="pct"/>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3标★项需提供技术证明文件之一（医疗器械注册证、医疗器械注册登记表、第三方检测报告、产品使用说明书、产品彩页及实物图片）予以证明所提供的试剂符合以上技术要求。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4.报价文件中需提供通过SFDA（国家食品药品监督管理局）医疗器械注册证。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b w:val="0"/>
                <w:bCs w:val="0"/>
                <w:sz w:val="24"/>
                <w:szCs w:val="24"/>
                <w:lang w:val="en-US" w:eastAsia="zh-CN"/>
              </w:rPr>
            </w:pPr>
            <w:r>
              <w:rPr>
                <w:rFonts w:hint="eastAsia" w:ascii="仿宋" w:hAnsi="仿宋" w:eastAsia="仿宋" w:cs="Times New Roman"/>
                <w:sz w:val="22"/>
                <w:szCs w:val="22"/>
                <w:lang w:val="en-US" w:eastAsia="zh-CN"/>
              </w:rPr>
              <w:t>5.本项目所需要各类证明材料，成交人需在7个日历天内提供原厂证明（须加盖原厂公章），若成交人未在招标文件要求的期限内提供证明材料或成交人提供的证明材料不能完全符合磋商文件要求，则视为虚假响应；</w:t>
            </w:r>
          </w:p>
        </w:tc>
      </w:tr>
    </w:tbl>
    <w:p>
      <w:pPr>
        <w:pStyle w:val="6"/>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numPr>
          <w:ilvl w:val="0"/>
          <w:numId w:val="0"/>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42" w:firstLineChars="200"/>
        <w:rPr>
          <w:rFonts w:hint="eastAsia" w:eastAsia="仿宋"/>
          <w:lang w:val="en-US" w:eastAsia="zh-CN"/>
        </w:rPr>
      </w:pPr>
      <w:r>
        <w:rPr>
          <w:rFonts w:hint="eastAsia" w:ascii="仿宋" w:hAnsi="仿宋" w:eastAsia="仿宋" w:cs="Times New Roman"/>
          <w:b/>
          <w:bCs/>
          <w:sz w:val="22"/>
          <w:szCs w:val="22"/>
          <w:lang w:val="en-US" w:eastAsia="zh-CN"/>
        </w:rPr>
        <w:t>★</w:t>
      </w:r>
      <w:r>
        <w:rPr>
          <w:rFonts w:hint="eastAsia" w:ascii="仿宋" w:hAnsi="仿宋" w:eastAsia="仿宋" w:cs="仿宋"/>
          <w:snapToGrid w:val="0"/>
          <w:lang w:val="en-US" w:eastAsia="zh-CN"/>
        </w:rPr>
        <w:t>1.</w:t>
      </w:r>
      <w:r>
        <w:rPr>
          <w:rFonts w:hint="eastAsia" w:ascii="仿宋" w:hAnsi="仿宋" w:eastAsia="仿宋" w:cs="仿宋"/>
          <w:snapToGrid w:val="0"/>
          <w:lang w:val="zh-CN" w:eastAsia="zh-CN"/>
        </w:rPr>
        <w:t>投标供应商须提供承诺函，承诺对售后服务需求提供7*24小时响应，</w:t>
      </w:r>
      <w:r>
        <w:rPr>
          <w:rFonts w:hint="eastAsia" w:ascii="仿宋" w:hAnsi="仿宋" w:eastAsia="仿宋" w:cs="仿宋"/>
          <w:snapToGrid w:val="0"/>
          <w:lang w:val="en-US" w:eastAsia="zh-CN"/>
        </w:rPr>
        <w:t>在4小时内提出解决方案并做出明确安排，24</w:t>
      </w:r>
      <w:r>
        <w:rPr>
          <w:rFonts w:hint="eastAsia" w:ascii="仿宋" w:hAnsi="仿宋" w:eastAsia="仿宋" w:cs="仿宋"/>
          <w:snapToGrid w:val="0"/>
          <w:lang w:val="zh-CN" w:eastAsia="zh-CN"/>
        </w:rPr>
        <w:t>小时内到达现场实施维修。</w:t>
      </w:r>
      <w:r>
        <w:rPr>
          <w:rFonts w:hint="eastAsia" w:ascii="仿宋" w:hAnsi="仿宋" w:eastAsia="仿宋" w:cs="仿宋"/>
          <w:snapToGrid w:val="0"/>
          <w:lang w:val="en-US" w:eastAsia="zh-CN"/>
        </w:rPr>
        <w:t>48小时以内排除故障，并分析故障原因，提出书面故障分析报告及防范措施。不能当场修复的，必须采取提供备品、备件或备柜等措施，以保证采购单位的正常使用。</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2.</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r>
        <w:rPr>
          <w:rFonts w:hint="eastAsia" w:ascii="仿宋" w:hAnsi="仿宋" w:eastAsia="仿宋" w:cs="仿宋"/>
          <w:snapToGrid w:val="0"/>
          <w:lang w:val="zh-CN"/>
        </w:rPr>
        <w:t>报价方对提供的货物在质保期内，因产品质量而导致的缺陷，必须免费提供包修、包换、包退服务。</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3.供货要求：</w:t>
      </w:r>
      <w:r>
        <w:rPr>
          <w:rFonts w:hint="eastAsia" w:ascii="仿宋" w:hAnsi="仿宋" w:eastAsia="仿宋" w:cs="仿宋"/>
          <w:snapToGrid w:val="0"/>
          <w:lang w:val="en-US" w:eastAsia="zh-CN"/>
        </w:rPr>
        <w:t>供应商成交以后，采购人按批次向供应商发出供货通知书时，成交供应商应在10个日历天内完成供货，否则，采购人有权解除合同，由此造成的全部损失，由成交供应商全部承担。</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lang w:eastAsia="zh-CN"/>
        </w:rPr>
      </w:pPr>
      <w:r>
        <w:rPr>
          <w:rFonts w:hint="eastAsia" w:ascii="仿宋" w:hAnsi="仿宋" w:eastAsia="仿宋" w:cs="仿宋"/>
          <w:b/>
          <w:bCs/>
          <w:lang w:eastAsia="zh-CN"/>
        </w:rPr>
        <w:t>（五）</w:t>
      </w:r>
      <w:r>
        <w:rPr>
          <w:rFonts w:hint="eastAsia" w:ascii="仿宋" w:hAnsi="仿宋" w:eastAsia="仿宋" w:cs="仿宋"/>
          <w:snapToGrid w:val="0"/>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六</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6C684A51"/>
    <w:rsid w:val="6C684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2">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kern w:val="2"/>
      <w:szCs w:val="21"/>
    </w:rPr>
  </w:style>
  <w:style w:type="paragraph" w:customStyle="1" w:styleId="6">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2022-09-26T07:50:00Z</dcterms:created>
  <dc:creator>Administrator</dc:creator>
  <cp:lastModifiedBy>Administrator</cp:lastModifiedBy>
  <dcterms:modified xsi:type="dcterms:W3CDTF">2022-09-26T07:54:26Z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A2893FADA7BF4B82829D58D1F295739D</vt:lpwstr>
  </property>
</Properties>
</file>