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numId w:val="0"/>
        </w:numPr>
        <w:spacing w:before="240" w:beforeLines="100"/>
        <w:jc w:val="both"/>
        <w:outlineLvl w:val="0"/>
        <w:rPr>
          <w:rFonts w:hint="eastAsia"/>
          <w:lang w:val="zh-CN"/>
        </w:rPr>
      </w:pPr>
      <w:bookmarkStart w:id="0" w:name="_Toc3059"/>
      <w:bookmarkStart w:id="1" w:name="_Toc20590"/>
      <w:r>
        <w:rPr>
          <w:rFonts w:hint="eastAsia" w:hAnsi="宋体" w:cs="宋体"/>
          <w:b/>
          <w:color w:val="000000"/>
          <w:sz w:val="32"/>
          <w:szCs w:val="32"/>
          <w:lang w:val="zh-CN"/>
        </w:rPr>
        <w:t>附件：</w:t>
      </w:r>
      <w:bookmarkEnd w:id="0"/>
      <w:bookmarkEnd w:id="1"/>
      <w:bookmarkStart w:id="2" w:name="_Toc5240"/>
      <w:r>
        <w:rPr>
          <w:rFonts w:hint="eastAsia" w:ascii="方正小标宋_GBK" w:hAnsi="方正小标宋_GBK" w:eastAsia="方正小标宋_GBK" w:cs="方正小标宋_GBK"/>
          <w:sz w:val="32"/>
          <w:szCs w:val="32"/>
          <w:lang w:val="zh-CN"/>
        </w:rPr>
        <w:t>采购项目技术和商务要求</w:t>
      </w:r>
      <w:bookmarkEnd w:id="2"/>
      <w:bookmarkStart w:id="5" w:name="_GoBack"/>
      <w:bookmarkEnd w:id="5"/>
    </w:p>
    <w:p>
      <w:pPr>
        <w:pStyle w:val="9"/>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为鼓励不同品牌的充分竞争，如某设备的某技术参数或要求属于个别品牌专有，则该技术参数及要求不具有限制性，供应商可对该参数或要求进行适当调整，但这种调整整体上要优于或相当于询价文件的相关要求，并说明调整理由，且该调整须经询价小组审核认可。</w:t>
      </w:r>
    </w:p>
    <w:p>
      <w:pPr>
        <w:pStyle w:val="9"/>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1.成交人提供的货物为进口产品的，供货时须向采购人提供所投进口产品的海关报关单等证明材料。</w:t>
      </w:r>
      <w:bookmarkStart w:id="3" w:name="_Toc24273"/>
    </w:p>
    <w:p>
      <w:pPr>
        <w:pStyle w:val="9"/>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2.原装进口的产品，如国内产品满足需求也可参与采购竞争。</w:t>
      </w:r>
    </w:p>
    <w:bookmarkEnd w:id="3"/>
    <w:p>
      <w:pPr>
        <w:pStyle w:val="13"/>
        <w:widowControl w:val="0"/>
        <w:numPr>
          <w:ilvl w:val="0"/>
          <w:numId w:val="1"/>
        </w:numPr>
        <w:autoSpaceDE w:val="0"/>
        <w:autoSpaceDN w:val="0"/>
        <w:adjustRightInd w:val="0"/>
        <w:spacing w:line="500" w:lineRule="exact"/>
        <w:jc w:val="both"/>
        <w:rPr>
          <w:rFonts w:hint="eastAsia" w:ascii="Times New Roman" w:hAnsi="Times New Roman" w:eastAsia="黑体"/>
          <w:sz w:val="28"/>
          <w:szCs w:val="28"/>
          <w:lang w:eastAsia="zh-CN"/>
        </w:rPr>
      </w:pPr>
      <w:bookmarkStart w:id="4" w:name="_Toc285612596"/>
      <w:r>
        <w:rPr>
          <w:rFonts w:ascii="Times New Roman" w:hAnsi="Times New Roman" w:eastAsia="黑体"/>
          <w:sz w:val="28"/>
          <w:szCs w:val="28"/>
          <w:lang w:eastAsia="zh-CN"/>
        </w:rPr>
        <w:t>技术</w:t>
      </w:r>
      <w:r>
        <w:rPr>
          <w:rFonts w:hint="eastAsia" w:ascii="Times New Roman" w:hAnsi="Times New Roman" w:eastAsia="黑体"/>
          <w:sz w:val="28"/>
          <w:szCs w:val="28"/>
          <w:lang w:eastAsia="zh-CN"/>
        </w:rPr>
        <w:t>要求</w:t>
      </w:r>
    </w:p>
    <w:tbl>
      <w:tblPr>
        <w:tblStyle w:val="11"/>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87"/>
        <w:gridCol w:w="1804"/>
        <w:gridCol w:w="1670"/>
        <w:gridCol w:w="454"/>
        <w:gridCol w:w="668"/>
        <w:gridCol w:w="3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产品名称</w:t>
            </w:r>
          </w:p>
        </w:tc>
        <w:tc>
          <w:tcPr>
            <w:tcW w:w="9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     格</w:t>
            </w:r>
          </w:p>
        </w:tc>
        <w:tc>
          <w:tcPr>
            <w:tcW w:w="266"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9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72"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螺口样品瓶</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2ml，透明，100个/包，12mm*32mm，9mm直径</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由水解玻璃（1类硼硅玻璃）制成，再ISO9001认证环境中制造。配备螺纹盖和精密匹配的隔垫可以实现微量内插管的安全密封。与安捷伦自动进样器兼容。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螺口样品瓶</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2ml，棕色，100个/包，12mm*32mm</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由水解玻璃（1类硼硅玻璃）制成，再ISO9001认证环境中制造。配备螺纹盖和精密匹配的隔垫可以实现微量内插管的安全密封。与安捷伦自动进样器兼容。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螺口样品瓶盖</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12mm，，3层，不开口，PTFE/silicone/PTFE，100个/包</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cs="宋体"/>
                <w:i w:val="0"/>
                <w:iCs w:val="0"/>
                <w:color w:val="auto"/>
                <w:kern w:val="0"/>
                <w:sz w:val="22"/>
                <w:szCs w:val="22"/>
                <w:highlight w:val="none"/>
                <w:u w:val="none"/>
                <w:lang w:val="en-US" w:eastAsia="zh-CN" w:bidi="ar"/>
              </w:rPr>
              <w:t>与序号1、2的样品瓶匹配，与安捷伦自动进样器兼容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样品瓶架</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能放置50个12*32mm样品瓶</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105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离心管</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离心管，灭菌，无热源；50ml，彩色</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color w:val="auto"/>
                <w:highlight w:val="none"/>
                <w:lang w:val="en-US" w:eastAsia="zh-CN"/>
              </w:rPr>
            </w:pPr>
            <w:r>
              <w:rPr>
                <w:color w:val="auto"/>
                <w:highlight w:val="none"/>
                <w:lang w:val="en-US" w:eastAsia="zh-CN"/>
              </w:rPr>
              <w:t xml:space="preserve"> 最大离心强度达到12500RCF的高耐久规格,耐热性、耐寒性优秀，耐热温度：-80~121℃（高压灭菌121℃时需空管操作）,已灭菌，无DNase、RNase、DNA、热源,管壁带书写空间及带刻度线</w:t>
            </w:r>
            <w:r>
              <w:rPr>
                <w:rFonts w:hint="eastAsia"/>
                <w:color w:val="auto"/>
                <w:highlight w:val="none"/>
                <w:lang w:val="en-US" w:eastAsia="zh-CN"/>
              </w:rPr>
              <w:t>。或相当于</w:t>
            </w:r>
            <w:r>
              <w:rPr>
                <w:rFonts w:hint="eastAsia" w:ascii="宋体" w:hAnsi="宋体" w:eastAsia="宋体" w:cs="宋体"/>
                <w:i w:val="0"/>
                <w:iCs w:val="0"/>
                <w:color w:val="auto"/>
                <w:kern w:val="0"/>
                <w:sz w:val="22"/>
                <w:szCs w:val="22"/>
                <w:highlight w:val="none"/>
                <w:u w:val="none"/>
                <w:lang w:val="en-US" w:eastAsia="zh-CN" w:bidi="ar"/>
              </w:rPr>
              <w:t>品牌(SCRC)</w:t>
            </w:r>
            <w:r>
              <w:rPr>
                <w:rFonts w:hint="eastAsia" w:ascii="宋体" w:hAnsi="宋体" w:cs="宋体"/>
                <w:i w:val="0"/>
                <w:iCs w:val="0"/>
                <w:color w:val="auto"/>
                <w:kern w:val="0"/>
                <w:sz w:val="22"/>
                <w:szCs w:val="22"/>
                <w:highlight w:val="none"/>
                <w:u w:val="none"/>
                <w:lang w:val="en-US" w:eastAsia="zh-CN" w:bidi="ar"/>
              </w:rPr>
              <w:t>的技术参数要求。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瓶口分液器</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0"/>
                <w:szCs w:val="20"/>
                <w:u w:val="none"/>
                <w:lang w:val="en-US" w:eastAsia="zh-CN" w:bidi="ar"/>
              </w:rPr>
              <w:t>5-50ml(带安全阀)</w:t>
            </w:r>
            <w:r>
              <w:rPr>
                <w:rFonts w:hint="eastAsia" w:ascii="宋体" w:hAnsi="宋体" w:cs="宋体"/>
                <w:i w:val="0"/>
                <w:iCs w:val="0"/>
                <w:color w:val="auto"/>
                <w:kern w:val="0"/>
                <w:sz w:val="20"/>
                <w:szCs w:val="20"/>
                <w:u w:val="none"/>
                <w:lang w:val="en-US" w:eastAsia="zh-CN" w:bidi="ar"/>
              </w:rPr>
              <w:t>,分刻度1ml，瓶口螺纹适配器：GL32-33,GL38,S40</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fldChar w:fldCharType="begin"/>
            </w:r>
            <w:r>
              <w:rPr>
                <w:rFonts w:hint="default" w:ascii="宋体" w:hAnsi="宋体" w:eastAsia="宋体" w:cs="宋体"/>
                <w:i w:val="0"/>
                <w:iCs w:val="0"/>
                <w:color w:val="auto"/>
                <w:kern w:val="0"/>
                <w:sz w:val="22"/>
                <w:szCs w:val="22"/>
                <w:u w:val="none"/>
                <w:lang w:val="en-US" w:eastAsia="zh-CN" w:bidi="ar"/>
              </w:rPr>
              <w:instrText xml:space="preserve"> HYPERLINK "https://www.99808.com/b_s/?ppid=34" \o "https://www.99808.com/b_s/?ppid=34" </w:instrText>
            </w:r>
            <w:r>
              <w:rPr>
                <w:rFonts w:hint="default" w:ascii="宋体" w:hAnsi="宋体" w:eastAsia="宋体" w:cs="宋体"/>
                <w:i w:val="0"/>
                <w:iCs w:val="0"/>
                <w:color w:val="auto"/>
                <w:kern w:val="0"/>
                <w:sz w:val="22"/>
                <w:szCs w:val="22"/>
                <w:u w:val="none"/>
                <w:lang w:val="en-US" w:eastAsia="zh-CN" w:bidi="ar"/>
              </w:rPr>
              <w:fldChar w:fldCharType="separate"/>
            </w:r>
            <w:r>
              <w:rPr>
                <w:rFonts w:hint="eastAsia" w:ascii="宋体" w:hAnsi="宋体" w:eastAsia="宋体" w:cs="宋体"/>
                <w:i w:val="0"/>
                <w:iCs w:val="0"/>
                <w:color w:val="auto"/>
                <w:kern w:val="0"/>
                <w:sz w:val="22"/>
                <w:szCs w:val="22"/>
                <w:u w:val="none"/>
                <w:lang w:val="en-US" w:eastAsia="zh-CN" w:bidi="ar"/>
              </w:rPr>
              <w:t xml:space="preserve"> 适用于有机物和高浓度的酸、碱、盐类</w:t>
            </w:r>
            <w:r>
              <w:rPr>
                <w:rFonts w:hint="default"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：HCL,HNO3、TFA、THF等等，最小分度ml：0.1，A精度%：0.5，CV误差系数%：0.1。或相当于品牌(</w:t>
            </w:r>
            <w:r>
              <w:rPr>
                <w:rFonts w:hint="default" w:ascii="宋体" w:hAnsi="宋体" w:eastAsia="宋体" w:cs="宋体"/>
                <w:i w:val="0"/>
                <w:iCs w:val="0"/>
                <w:color w:val="auto"/>
                <w:kern w:val="0"/>
                <w:sz w:val="22"/>
                <w:szCs w:val="22"/>
                <w:u w:val="none"/>
                <w:lang w:val="en-US" w:eastAsia="zh-CN" w:bidi="ar"/>
              </w:rPr>
              <w:t>Brand</w:t>
            </w:r>
            <w:r>
              <w:rPr>
                <w:rFonts w:hint="eastAsia" w:ascii="宋体" w:hAnsi="宋体" w:eastAsia="宋体" w:cs="宋体"/>
                <w:i w:val="0"/>
                <w:iCs w:val="0"/>
                <w:color w:val="auto"/>
                <w:kern w:val="0"/>
                <w:sz w:val="22"/>
                <w:szCs w:val="22"/>
                <w:u w:val="none"/>
                <w:lang w:val="en-US" w:eastAsia="zh-CN" w:bidi="ar"/>
              </w:rPr>
              <w:t>)的技术参数要求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瓶口分液器</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0"/>
                <w:szCs w:val="20"/>
                <w:u w:val="none"/>
                <w:lang w:val="en-US"/>
              </w:rPr>
            </w:pPr>
            <w:r>
              <w:rPr>
                <w:rFonts w:hint="eastAsia" w:ascii="宋体" w:hAnsi="宋体" w:eastAsia="宋体" w:cs="宋体"/>
                <w:i w:val="0"/>
                <w:iCs w:val="0"/>
                <w:color w:val="auto"/>
                <w:kern w:val="0"/>
                <w:sz w:val="20"/>
                <w:szCs w:val="20"/>
                <w:u w:val="none"/>
                <w:lang w:val="en-US" w:eastAsia="zh-CN" w:bidi="ar"/>
              </w:rPr>
              <w:t>2.5-25ml(带安全阀)，分刻度0.5ml，瓶口螺纹适配器：GL32-33,GL38,S40</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default" w:ascii="宋体" w:hAnsi="宋体" w:eastAsia="宋体" w:cs="宋体"/>
                <w:i w:val="0"/>
                <w:iCs w:val="0"/>
                <w:color w:val="auto"/>
                <w:kern w:val="0"/>
                <w:sz w:val="22"/>
                <w:szCs w:val="22"/>
                <w:u w:val="none"/>
                <w:lang w:val="en-US" w:eastAsia="zh-CN" w:bidi="ar"/>
              </w:rPr>
              <w:fldChar w:fldCharType="begin"/>
            </w:r>
            <w:r>
              <w:rPr>
                <w:rFonts w:hint="default" w:ascii="宋体" w:hAnsi="宋体" w:eastAsia="宋体" w:cs="宋体"/>
                <w:i w:val="0"/>
                <w:iCs w:val="0"/>
                <w:color w:val="auto"/>
                <w:kern w:val="0"/>
                <w:sz w:val="22"/>
                <w:szCs w:val="22"/>
                <w:u w:val="none"/>
                <w:lang w:val="en-US" w:eastAsia="zh-CN" w:bidi="ar"/>
              </w:rPr>
              <w:instrText xml:space="preserve"> HYPERLINK "https://www.99808.com/b_s/?ppid=34" \o "https://www.99808.com/b_s/?ppid=34" </w:instrText>
            </w:r>
            <w:r>
              <w:rPr>
                <w:rFonts w:hint="default" w:ascii="宋体" w:hAnsi="宋体" w:eastAsia="宋体" w:cs="宋体"/>
                <w:i w:val="0"/>
                <w:iCs w:val="0"/>
                <w:color w:val="auto"/>
                <w:kern w:val="0"/>
                <w:sz w:val="22"/>
                <w:szCs w:val="22"/>
                <w:u w:val="none"/>
                <w:lang w:val="en-US" w:eastAsia="zh-CN" w:bidi="ar"/>
              </w:rPr>
              <w:fldChar w:fldCharType="separate"/>
            </w:r>
            <w:r>
              <w:rPr>
                <w:rFonts w:hint="eastAsia" w:ascii="宋体" w:hAnsi="宋体" w:eastAsia="宋体" w:cs="宋体"/>
                <w:i w:val="0"/>
                <w:iCs w:val="0"/>
                <w:color w:val="auto"/>
                <w:kern w:val="0"/>
                <w:sz w:val="22"/>
                <w:szCs w:val="22"/>
                <w:u w:val="none"/>
                <w:lang w:val="en-US" w:eastAsia="zh-CN" w:bidi="ar"/>
              </w:rPr>
              <w:t>适用于有机物和高浓度的酸、碱、盐类</w:t>
            </w:r>
            <w:r>
              <w:rPr>
                <w:rFonts w:hint="default"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：HCL,HNO3、TFA、THF等等，最小分度ml：0.1，A精度%：0.5，CV误差系数%：0.1或相当于品牌(</w:t>
            </w:r>
            <w:r>
              <w:rPr>
                <w:rFonts w:hint="default" w:ascii="宋体" w:hAnsi="宋体" w:eastAsia="宋体" w:cs="宋体"/>
                <w:i w:val="0"/>
                <w:iCs w:val="0"/>
                <w:color w:val="auto"/>
                <w:kern w:val="0"/>
                <w:sz w:val="22"/>
                <w:szCs w:val="22"/>
                <w:u w:val="none"/>
                <w:lang w:val="en-US" w:eastAsia="zh-CN" w:bidi="ar"/>
              </w:rPr>
              <w:t>Brand</w:t>
            </w:r>
            <w:r>
              <w:rPr>
                <w:rFonts w:hint="eastAsia" w:ascii="宋体" w:hAnsi="宋体" w:eastAsia="宋体" w:cs="宋体"/>
                <w:i w:val="0"/>
                <w:iCs w:val="0"/>
                <w:color w:val="auto"/>
                <w:kern w:val="0"/>
                <w:sz w:val="22"/>
                <w:szCs w:val="22"/>
                <w:u w:val="none"/>
                <w:lang w:val="en-US" w:eastAsia="zh-CN" w:bidi="ar"/>
              </w:rPr>
              <w:t>)的技术参数要求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玻璃刻度量筒</w:t>
            </w:r>
          </w:p>
        </w:tc>
        <w:tc>
          <w:tcPr>
            <w:tcW w:w="9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50ml</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玻璃刻度量筒</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100ml</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玻璃刻度量筒</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250ml</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玻璃刻度量筒</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500ml</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定量滤纸-无灰级</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GR 42 12.5CM</w:t>
            </w:r>
            <w:r>
              <w:rPr>
                <w:rFonts w:hint="eastAsia" w:ascii="宋体" w:hAnsi="宋体" w:eastAsia="宋体" w:cs="宋体"/>
                <w:i w:val="0"/>
                <w:iCs w:val="0"/>
                <w:color w:val="auto"/>
                <w:kern w:val="0"/>
                <w:sz w:val="20"/>
                <w:szCs w:val="20"/>
                <w:u w:val="none"/>
                <w:lang w:val="en-US" w:eastAsia="zh-CN" w:bidi="ar"/>
              </w:rPr>
              <w:t>，</w:t>
            </w:r>
            <w:r>
              <w:rPr>
                <w:rFonts w:hint="default" w:ascii="Segoe UI" w:hAnsi="Segoe UI" w:eastAsia="Segoe UI" w:cs="Segoe UI"/>
                <w:i w:val="0"/>
                <w:iCs w:val="0"/>
                <w:color w:val="auto"/>
                <w:kern w:val="0"/>
                <w:sz w:val="20"/>
                <w:szCs w:val="20"/>
                <w:u w:val="none"/>
                <w:lang w:val="en-US" w:eastAsia="zh-CN" w:bidi="ar"/>
              </w:rPr>
              <w:t xml:space="preserve"> 100/pk</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盒</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相当于品牌Whatman/沃特曼的技术参数要求。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称量纸</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100*100mm</w:t>
            </w:r>
            <w:r>
              <w:rPr>
                <w:rFonts w:hint="eastAsia" w:ascii="宋体" w:hAnsi="宋体" w:eastAsia="宋体" w:cs="宋体"/>
                <w:i w:val="0"/>
                <w:iCs w:val="0"/>
                <w:color w:val="auto"/>
                <w:kern w:val="0"/>
                <w:sz w:val="20"/>
                <w:szCs w:val="20"/>
                <w:highlight w:val="none"/>
                <w:u w:val="none"/>
                <w:lang w:val="en-US" w:eastAsia="zh-CN" w:bidi="ar"/>
              </w:rPr>
              <w:t>，</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张</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1000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 xml:space="preserve"> 适用于各种分析天平,可用来称量粉末等物质。 纸质光滑、不易粘附，有利于准确称量并有效保护天平托盘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105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蓝盖试剂瓶</w:t>
            </w:r>
          </w:p>
        </w:tc>
        <w:tc>
          <w:tcPr>
            <w:tcW w:w="9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Segoe UI" w:hAnsi="Segoe UI" w:eastAsia="Segoe UI" w:cs="Segoe UI"/>
                <w:i w:val="0"/>
                <w:iCs w:val="0"/>
                <w:color w:val="auto"/>
                <w:sz w:val="20"/>
                <w:szCs w:val="20"/>
                <w:highlight w:val="none"/>
                <w:u w:val="none"/>
              </w:rPr>
            </w:pPr>
            <w:r>
              <w:rPr>
                <w:rFonts w:hint="default" w:ascii="Segoe UI" w:hAnsi="Segoe UI" w:eastAsia="Segoe UI" w:cs="Segoe UI"/>
                <w:i w:val="0"/>
                <w:iCs w:val="0"/>
                <w:color w:val="auto"/>
                <w:kern w:val="0"/>
                <w:sz w:val="20"/>
                <w:szCs w:val="20"/>
                <w:highlight w:val="none"/>
                <w:u w:val="none"/>
                <w:lang w:val="en-US" w:eastAsia="zh-CN" w:bidi="ar"/>
              </w:rPr>
              <w:t xml:space="preserve">100mL </w:t>
            </w:r>
            <w:r>
              <w:rPr>
                <w:rFonts w:hint="eastAsia" w:ascii="宋体" w:hAnsi="宋体" w:eastAsia="宋体" w:cs="宋体"/>
                <w:i w:val="0"/>
                <w:iCs w:val="0"/>
                <w:color w:val="auto"/>
                <w:kern w:val="0"/>
                <w:sz w:val="20"/>
                <w:szCs w:val="20"/>
                <w:highlight w:val="none"/>
                <w:u w:val="none"/>
                <w:lang w:val="en-US" w:eastAsia="zh-CN" w:bidi="ar"/>
              </w:rPr>
              <w:t>棕色</w:t>
            </w:r>
            <w:r>
              <w:rPr>
                <w:rFonts w:hint="default" w:ascii="Segoe UI" w:hAnsi="Segoe UI" w:eastAsia="Segoe UI" w:cs="Segoe UI"/>
                <w:i w:val="0"/>
                <w:iCs w:val="0"/>
                <w:color w:val="auto"/>
                <w:kern w:val="0"/>
                <w:sz w:val="20"/>
                <w:szCs w:val="20"/>
                <w:highlight w:val="none"/>
                <w:u w:val="none"/>
                <w:lang w:val="en-US" w:eastAsia="zh-CN" w:bidi="ar"/>
              </w:rPr>
              <w:t xml:space="preserve"> GL45</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96</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材质：硅酸盐无铅环保玻璃，螺口规格：GL45，线热膨胀系数4.4-5.0*10-6/K，瓶盖耐温：140℃，具有耐化学侵蚀及耐热冲击的性能，可承受40℃/秒的降温速率，瓶口倾倒环的独特设计，避免了使用时滴漏现象的发生；试剂瓶均采用统一、可互相替换的瓶盖及倾倒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w:t>
            </w:r>
          </w:p>
        </w:tc>
        <w:tc>
          <w:tcPr>
            <w:tcW w:w="1059"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蓝盖试剂瓶</w:t>
            </w:r>
          </w:p>
        </w:tc>
        <w:tc>
          <w:tcPr>
            <w:tcW w:w="980" w:type="pc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Segoe UI" w:hAnsi="Segoe UI" w:eastAsia="Segoe UI" w:cs="Segoe UI"/>
                <w:i w:val="0"/>
                <w:iCs w:val="0"/>
                <w:color w:val="auto"/>
                <w:sz w:val="20"/>
                <w:szCs w:val="20"/>
                <w:highlight w:val="none"/>
                <w:u w:val="none"/>
              </w:rPr>
            </w:pPr>
            <w:r>
              <w:rPr>
                <w:rFonts w:hint="default" w:ascii="Segoe UI" w:hAnsi="Segoe UI" w:eastAsia="Segoe UI" w:cs="Segoe UI"/>
                <w:i w:val="0"/>
                <w:iCs w:val="0"/>
                <w:color w:val="auto"/>
                <w:kern w:val="0"/>
                <w:sz w:val="20"/>
                <w:szCs w:val="20"/>
                <w:highlight w:val="none"/>
                <w:u w:val="none"/>
                <w:lang w:val="en-US" w:eastAsia="zh-CN" w:bidi="ar"/>
              </w:rPr>
              <w:t xml:space="preserve">250mL </w:t>
            </w:r>
            <w:r>
              <w:rPr>
                <w:rFonts w:hint="eastAsia" w:ascii="宋体" w:hAnsi="宋体" w:eastAsia="宋体" w:cs="宋体"/>
                <w:i w:val="0"/>
                <w:iCs w:val="0"/>
                <w:color w:val="auto"/>
                <w:kern w:val="0"/>
                <w:sz w:val="20"/>
                <w:szCs w:val="20"/>
                <w:highlight w:val="none"/>
                <w:u w:val="none"/>
                <w:lang w:val="en-US" w:eastAsia="zh-CN" w:bidi="ar"/>
              </w:rPr>
              <w:t>棕色</w:t>
            </w:r>
            <w:r>
              <w:rPr>
                <w:rFonts w:hint="default" w:ascii="Segoe UI" w:hAnsi="Segoe UI" w:eastAsia="Segoe UI" w:cs="Segoe UI"/>
                <w:i w:val="0"/>
                <w:iCs w:val="0"/>
                <w:color w:val="auto"/>
                <w:kern w:val="0"/>
                <w:sz w:val="20"/>
                <w:szCs w:val="20"/>
                <w:highlight w:val="none"/>
                <w:u w:val="none"/>
                <w:lang w:val="en-US" w:eastAsia="zh-CN" w:bidi="ar"/>
              </w:rPr>
              <w:t xml:space="preserve"> GL45</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材质：硅酸盐无铅环保玻璃，螺口规格：GL45，线热膨胀系数4.4-5.0*10-6/K，瓶盖耐温：140℃，具有耐化学侵蚀及耐热冲击的性能，可承受40℃/秒的降温速率，瓶口倾倒环的独特设计，避免了使用时滴漏现象的发生；试剂瓶均采用统一、可互相替换的瓶盖及倾倒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螺口试剂瓶（茶色）</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 xml:space="preserve">100mL </w:t>
            </w:r>
            <w:r>
              <w:rPr>
                <w:rFonts w:hint="eastAsia" w:ascii="宋体" w:hAnsi="宋体" w:eastAsia="宋体" w:cs="宋体"/>
                <w:i w:val="0"/>
                <w:iCs w:val="0"/>
                <w:color w:val="auto"/>
                <w:kern w:val="0"/>
                <w:sz w:val="20"/>
                <w:szCs w:val="20"/>
                <w:u w:val="none"/>
                <w:lang w:val="en-US" w:eastAsia="zh-CN" w:bidi="ar"/>
              </w:rPr>
              <w:t>茶色</w:t>
            </w:r>
            <w:r>
              <w:rPr>
                <w:rFonts w:hint="default" w:ascii="Segoe UI" w:hAnsi="Segoe UI" w:eastAsia="Segoe UI" w:cs="Segoe UI"/>
                <w:i w:val="0"/>
                <w:iCs w:val="0"/>
                <w:color w:val="auto"/>
                <w:kern w:val="0"/>
                <w:sz w:val="20"/>
                <w:szCs w:val="20"/>
                <w:u w:val="none"/>
                <w:lang w:val="en-US" w:eastAsia="zh-CN" w:bidi="ar"/>
              </w:rPr>
              <w:t xml:space="preserve"> GL45</w:t>
            </w:r>
            <w:r>
              <w:rPr>
                <w:rFonts w:hint="eastAsia" w:ascii="宋体" w:hAnsi="宋体" w:eastAsia="宋体" w:cs="宋体"/>
                <w:i w:val="0"/>
                <w:iCs w:val="0"/>
                <w:color w:val="auto"/>
                <w:kern w:val="0"/>
                <w:sz w:val="20"/>
                <w:szCs w:val="20"/>
                <w:u w:val="none"/>
                <w:lang w:val="en-US" w:eastAsia="zh-CN" w:bidi="ar"/>
              </w:rPr>
              <w:t>，直径mm：</w:t>
            </w:r>
            <w:r>
              <w:rPr>
                <w:rFonts w:hint="default" w:ascii="Segoe UI" w:hAnsi="Segoe UI" w:eastAsia="Segoe UI" w:cs="Segoe UI"/>
                <w:i w:val="0"/>
                <w:iCs w:val="0"/>
                <w:color w:val="auto"/>
                <w:kern w:val="0"/>
                <w:sz w:val="20"/>
                <w:szCs w:val="20"/>
                <w:u w:val="none"/>
                <w:lang w:val="en-US" w:eastAsia="zh-CN" w:bidi="ar"/>
              </w:rPr>
              <w:t>56</w:t>
            </w:r>
            <w:r>
              <w:rPr>
                <w:rFonts w:hint="eastAsia" w:ascii="宋体" w:hAnsi="宋体" w:eastAsia="宋体" w:cs="宋体"/>
                <w:i w:val="0"/>
                <w:iCs w:val="0"/>
                <w:color w:val="auto"/>
                <w:kern w:val="0"/>
                <w:sz w:val="20"/>
                <w:szCs w:val="20"/>
                <w:u w:val="none"/>
                <w:lang w:val="en-US" w:eastAsia="zh-CN" w:bidi="ar"/>
              </w:rPr>
              <w:t>，高mm：</w:t>
            </w:r>
            <w:r>
              <w:rPr>
                <w:rFonts w:hint="default" w:ascii="Segoe UI" w:hAnsi="Segoe UI" w:eastAsia="Segoe UI" w:cs="Segoe UI"/>
                <w:i w:val="0"/>
                <w:iCs w:val="0"/>
                <w:color w:val="auto"/>
                <w:kern w:val="0"/>
                <w:sz w:val="20"/>
                <w:szCs w:val="20"/>
                <w:u w:val="none"/>
                <w:lang w:val="en-US" w:eastAsia="zh-CN" w:bidi="ar"/>
              </w:rPr>
              <w:t>105</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主体／硼硅酸玻璃-1、蓝色盖子・排水环／PP（聚丙烯）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螺口试剂瓶（茶色）</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Segoe UI" w:hAnsi="Segoe UI" w:eastAsia="Segoe UI" w:cs="Segoe UI"/>
                <w:i w:val="0"/>
                <w:iCs w:val="0"/>
                <w:color w:val="auto"/>
                <w:sz w:val="20"/>
                <w:szCs w:val="20"/>
                <w:u w:val="none"/>
              </w:rPr>
            </w:pPr>
            <w:r>
              <w:rPr>
                <w:rFonts w:hint="default" w:ascii="Segoe UI" w:hAnsi="Segoe UI" w:eastAsia="Segoe UI" w:cs="Segoe UI"/>
                <w:i w:val="0"/>
                <w:iCs w:val="0"/>
                <w:color w:val="auto"/>
                <w:kern w:val="0"/>
                <w:sz w:val="20"/>
                <w:szCs w:val="20"/>
                <w:u w:val="none"/>
                <w:lang w:val="en-US" w:eastAsia="zh-CN" w:bidi="ar"/>
              </w:rPr>
              <w:t xml:space="preserve">250mL </w:t>
            </w:r>
            <w:r>
              <w:rPr>
                <w:rFonts w:hint="eastAsia" w:ascii="宋体" w:hAnsi="宋体" w:eastAsia="宋体" w:cs="宋体"/>
                <w:i w:val="0"/>
                <w:iCs w:val="0"/>
                <w:color w:val="auto"/>
                <w:kern w:val="0"/>
                <w:sz w:val="20"/>
                <w:szCs w:val="20"/>
                <w:u w:val="none"/>
                <w:lang w:val="en-US" w:eastAsia="zh-CN" w:bidi="ar"/>
              </w:rPr>
              <w:t>茶色</w:t>
            </w:r>
            <w:r>
              <w:rPr>
                <w:rFonts w:hint="default" w:ascii="Segoe UI" w:hAnsi="Segoe UI" w:eastAsia="Segoe UI" w:cs="Segoe UI"/>
                <w:i w:val="0"/>
                <w:iCs w:val="0"/>
                <w:color w:val="auto"/>
                <w:kern w:val="0"/>
                <w:sz w:val="20"/>
                <w:szCs w:val="20"/>
                <w:u w:val="none"/>
                <w:lang w:val="en-US" w:eastAsia="zh-CN" w:bidi="ar"/>
              </w:rPr>
              <w:t xml:space="preserve"> GL45</w:t>
            </w:r>
            <w:r>
              <w:rPr>
                <w:rFonts w:hint="eastAsia" w:ascii="宋体" w:hAnsi="宋体" w:eastAsia="宋体" w:cs="宋体"/>
                <w:i w:val="0"/>
                <w:iCs w:val="0"/>
                <w:color w:val="auto"/>
                <w:kern w:val="0"/>
                <w:sz w:val="20"/>
                <w:szCs w:val="20"/>
                <w:u w:val="none"/>
                <w:lang w:val="en-US" w:eastAsia="zh-CN" w:bidi="ar"/>
              </w:rPr>
              <w:t>，直径mm：</w:t>
            </w:r>
            <w:r>
              <w:rPr>
                <w:rFonts w:hint="default" w:ascii="Segoe UI" w:hAnsi="Segoe UI" w:eastAsia="Segoe UI" w:cs="Segoe UI"/>
                <w:i w:val="0"/>
                <w:iCs w:val="0"/>
                <w:color w:val="auto"/>
                <w:kern w:val="0"/>
                <w:sz w:val="20"/>
                <w:szCs w:val="20"/>
                <w:u w:val="none"/>
                <w:lang w:val="en-US" w:eastAsia="zh-CN" w:bidi="ar"/>
              </w:rPr>
              <w:t>70</w:t>
            </w:r>
            <w:r>
              <w:rPr>
                <w:rFonts w:hint="eastAsia" w:ascii="宋体" w:hAnsi="宋体" w:eastAsia="宋体" w:cs="宋体"/>
                <w:i w:val="0"/>
                <w:iCs w:val="0"/>
                <w:color w:val="auto"/>
                <w:kern w:val="0"/>
                <w:sz w:val="20"/>
                <w:szCs w:val="20"/>
                <w:u w:val="none"/>
                <w:lang w:val="en-US" w:eastAsia="zh-CN" w:bidi="ar"/>
              </w:rPr>
              <w:t>，高mm：</w:t>
            </w:r>
            <w:r>
              <w:rPr>
                <w:rFonts w:hint="default" w:ascii="Segoe UI" w:hAnsi="Segoe UI" w:eastAsia="Segoe UI" w:cs="Segoe UI"/>
                <w:i w:val="0"/>
                <w:iCs w:val="0"/>
                <w:color w:val="auto"/>
                <w:kern w:val="0"/>
                <w:sz w:val="20"/>
                <w:szCs w:val="20"/>
                <w:u w:val="none"/>
                <w:lang w:val="en-US" w:eastAsia="zh-CN" w:bidi="ar"/>
              </w:rPr>
              <w:t>143</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主体／硼硅酸玻璃-1、蓝色盖子・排水环／PP（聚丙烯）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固相萃取连接管</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 57059</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cs="宋体"/>
                <w:i w:val="0"/>
                <w:iCs w:val="0"/>
                <w:color w:val="auto"/>
                <w:kern w:val="0"/>
                <w:sz w:val="22"/>
                <w:szCs w:val="22"/>
                <w:u w:val="none"/>
                <w:lang w:val="en-US" w:eastAsia="zh-CN" w:bidi="ar"/>
              </w:rPr>
              <w:t>支</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w:t>
            </w:r>
            <w:r>
              <w:rPr>
                <w:rFonts w:hint="eastAsia" w:ascii="宋体" w:hAnsi="宋体" w:cs="宋体"/>
                <w:i w:val="0"/>
                <w:iCs w:val="0"/>
                <w:color w:val="auto"/>
                <w:kern w:val="0"/>
                <w:sz w:val="22"/>
                <w:szCs w:val="22"/>
                <w:u w:val="none"/>
                <w:lang w:val="en-US" w:eastAsia="zh-CN" w:bidi="ar"/>
              </w:rPr>
              <w:t>00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cs="宋体"/>
                <w:i w:val="0"/>
                <w:iCs w:val="0"/>
                <w:color w:val="auto"/>
                <w:kern w:val="0"/>
                <w:sz w:val="22"/>
                <w:szCs w:val="22"/>
                <w:u w:val="none"/>
                <w:lang w:val="en-US" w:eastAsia="zh-CN" w:bidi="ar"/>
              </w:rPr>
              <w:t>与采购人现有的Supelco Visiprep</w:t>
            </w:r>
            <w:r>
              <w:rPr>
                <w:rFonts w:hint="eastAsia" w:ascii="宋体" w:hAnsi="宋体" w:cs="宋体"/>
                <w:i w:val="0"/>
                <w:iCs w:val="0"/>
                <w:color w:val="auto"/>
                <w:kern w:val="0"/>
                <w:sz w:val="22"/>
                <w:szCs w:val="22"/>
                <w:u w:val="none"/>
                <w:vertAlign w:val="superscript"/>
                <w:lang w:val="en-US" w:eastAsia="zh-CN" w:bidi="ar"/>
              </w:rPr>
              <w:t xml:space="preserve">TM </w:t>
            </w:r>
            <w:r>
              <w:rPr>
                <w:rFonts w:hint="eastAsia" w:ascii="宋体" w:hAnsi="宋体" w:cs="宋体"/>
                <w:i w:val="0"/>
                <w:iCs w:val="0"/>
                <w:color w:val="auto"/>
                <w:kern w:val="0"/>
                <w:sz w:val="22"/>
                <w:szCs w:val="22"/>
                <w:u w:val="none"/>
                <w:vertAlign w:val="baseline"/>
                <w:lang w:val="en-US" w:eastAsia="zh-CN" w:bidi="ar"/>
              </w:rPr>
              <w:t>24 DL的固相萃取仪相匹配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PH标准校正液</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250ml/瓶，5瓶</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套</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5瓶的PH分别为2.00，4.01，7.00，9.21，11.00.梅特勒PH矫正液。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PH电极</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规格： LE410 PH电极，</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玻璃短管标准漏斗</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default" w:ascii="Segoe UI" w:hAnsi="Segoe UI" w:eastAsia="Segoe UI" w:cs="Segoe UI"/>
                <w:i w:val="0"/>
                <w:iCs w:val="0"/>
                <w:color w:val="auto"/>
                <w:kern w:val="0"/>
                <w:sz w:val="20"/>
                <w:szCs w:val="20"/>
                <w:u w:val="none"/>
                <w:lang w:val="en-US" w:eastAsia="zh-CN" w:bidi="ar"/>
              </w:rPr>
              <w:t>75mm</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24</w:t>
            </w:r>
          </w:p>
        </w:tc>
        <w:tc>
          <w:tcPr>
            <w:tcW w:w="105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玻璃短管标准漏斗</w:t>
            </w:r>
          </w:p>
        </w:tc>
        <w:tc>
          <w:tcPr>
            <w:tcW w:w="98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60mm</w:t>
            </w:r>
          </w:p>
        </w:tc>
        <w:tc>
          <w:tcPr>
            <w:tcW w:w="26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只</w:t>
            </w:r>
          </w:p>
        </w:tc>
        <w:tc>
          <w:tcPr>
            <w:tcW w:w="39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207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2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p>
        </w:tc>
        <w:tc>
          <w:tcPr>
            <w:tcW w:w="4772" w:type="pct"/>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1.报价方须对所报价包内所有产品和数量进行报价，否则视为无效报价。</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Times New Roman"/>
                <w:sz w:val="22"/>
                <w:szCs w:val="22"/>
                <w:lang w:val="en-US" w:eastAsia="zh-CN"/>
              </w:rPr>
            </w:pPr>
            <w:r>
              <w:rPr>
                <w:rFonts w:hint="eastAsia" w:ascii="仿宋" w:hAnsi="仿宋" w:eastAsia="仿宋" w:cs="Times New Roman"/>
                <w:sz w:val="22"/>
                <w:szCs w:val="22"/>
                <w:lang w:val="en-US" w:eastAsia="zh-CN"/>
              </w:rPr>
              <w:t>2.供应商的响应文件必须标明所投货物的品牌与参数，保证原厂正品供货，提供相关资料等。</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Times New Roman"/>
                <w:b/>
                <w:bCs/>
                <w:sz w:val="22"/>
                <w:szCs w:val="22"/>
                <w:lang w:val="en-US" w:eastAsia="zh-CN"/>
              </w:rPr>
              <w:t>3.以上产品技术要求必须全部满足，需提供技术证明文件之一（技术要求中要求的证明文件、第三方检测报告、产品技术白皮书、产品使用说明书、产品彩页）予以证明所提供的产品符合以上技术要求。</w:t>
            </w:r>
          </w:p>
        </w:tc>
      </w:tr>
    </w:tbl>
    <w:p>
      <w:pPr>
        <w:pStyle w:val="13"/>
        <w:widowControl w:val="0"/>
        <w:numPr>
          <w:ilvl w:val="0"/>
          <w:numId w:val="0"/>
        </w:numPr>
        <w:autoSpaceDE w:val="0"/>
        <w:autoSpaceDN w:val="0"/>
        <w:adjustRightInd w:val="0"/>
        <w:spacing w:line="500" w:lineRule="exact"/>
        <w:jc w:val="both"/>
        <w:rPr>
          <w:rFonts w:hint="eastAsia" w:ascii="Times New Roman" w:hAnsi="Times New Roman" w:eastAsia="黑体"/>
          <w:sz w:val="28"/>
          <w:szCs w:val="28"/>
          <w:lang w:eastAsia="zh-CN"/>
        </w:rPr>
      </w:pPr>
    </w:p>
    <w:p>
      <w:pPr>
        <w:pStyle w:val="13"/>
        <w:widowControl w:val="0"/>
        <w:numPr>
          <w:ilvl w:val="0"/>
          <w:numId w:val="1"/>
        </w:numPr>
        <w:autoSpaceDE w:val="0"/>
        <w:autoSpaceDN w:val="0"/>
        <w:adjustRightInd w:val="0"/>
        <w:spacing w:line="500" w:lineRule="exact"/>
        <w:jc w:val="both"/>
        <w:rPr>
          <w:rFonts w:hint="eastAsia" w:ascii="Times New Roman" w:hAnsi="Times New Roman" w:eastAsia="黑体" w:cs="Times New Roman"/>
          <w:sz w:val="24"/>
          <w:szCs w:val="24"/>
          <w:lang w:val="zh-CN" w:eastAsia="zh-CN"/>
        </w:rPr>
      </w:pPr>
      <w:r>
        <w:rPr>
          <w:rFonts w:hint="eastAsia" w:ascii="Times New Roman" w:hAnsi="Times New Roman" w:eastAsia="黑体" w:cs="Times New Roman"/>
          <w:sz w:val="24"/>
          <w:szCs w:val="24"/>
          <w:lang w:val="zh-CN" w:eastAsia="zh-CN"/>
        </w:rPr>
        <w:t>商务要求</w:t>
      </w:r>
    </w:p>
    <w:p>
      <w:pPr>
        <w:spacing w:line="400" w:lineRule="exact"/>
        <w:ind w:firstLine="482" w:firstLineChars="200"/>
        <w:rPr>
          <w:rFonts w:hint="eastAsia" w:ascii="仿宋" w:hAnsi="仿宋" w:eastAsia="仿宋" w:cs="仿宋"/>
        </w:rPr>
      </w:pPr>
      <w:r>
        <w:rPr>
          <w:rFonts w:hint="eastAsia" w:ascii="仿宋" w:hAnsi="仿宋" w:eastAsia="仿宋" w:cs="仿宋"/>
          <w:b/>
          <w:bCs/>
        </w:rPr>
        <w:t>（一）报价要求：</w:t>
      </w:r>
      <w:r>
        <w:rPr>
          <w:rFonts w:hint="eastAsia" w:ascii="仿宋" w:hAnsi="仿宋" w:eastAsia="仿宋" w:cs="仿宋"/>
        </w:rPr>
        <w:t>供应商的报价应包括：人员费用、运输费用、</w:t>
      </w:r>
      <w:r>
        <w:rPr>
          <w:rFonts w:hint="eastAsia" w:ascii="仿宋" w:hAnsi="仿宋" w:eastAsia="仿宋" w:cs="仿宋"/>
          <w:lang w:eastAsia="zh-CN"/>
        </w:rPr>
        <w:t>产品费、</w:t>
      </w:r>
      <w:r>
        <w:rPr>
          <w:rFonts w:hint="eastAsia" w:ascii="仿宋" w:hAnsi="仿宋" w:eastAsia="仿宋" w:cs="仿宋"/>
        </w:rPr>
        <w:t>管理费及税金等为完成</w:t>
      </w:r>
      <w:r>
        <w:rPr>
          <w:rFonts w:hint="eastAsia" w:ascii="仿宋" w:hAnsi="仿宋" w:eastAsia="仿宋" w:cs="仿宋"/>
          <w:lang w:eastAsia="zh-CN"/>
        </w:rPr>
        <w:t>询价</w:t>
      </w:r>
      <w:r>
        <w:rPr>
          <w:rFonts w:hint="eastAsia" w:ascii="仿宋" w:hAnsi="仿宋" w:eastAsia="仿宋" w:cs="仿宋"/>
        </w:rPr>
        <w:t>文件规定全部内容所需的一切应有费用。</w:t>
      </w:r>
    </w:p>
    <w:p>
      <w:pPr>
        <w:spacing w:line="400" w:lineRule="exact"/>
        <w:ind w:firstLine="482" w:firstLineChars="200"/>
        <w:rPr>
          <w:rFonts w:hint="eastAsia" w:ascii="仿宋" w:hAnsi="仿宋" w:eastAsia="仿宋" w:cs="仿宋"/>
          <w:snapToGrid w:val="0"/>
          <w:lang w:val="zh-CN" w:eastAsia="zh-CN"/>
        </w:rPr>
      </w:pPr>
      <w:r>
        <w:rPr>
          <w:rFonts w:hint="eastAsia" w:ascii="仿宋" w:hAnsi="仿宋" w:eastAsia="仿宋" w:cs="仿宋"/>
          <w:b/>
          <w:bCs/>
          <w:snapToGrid w:val="0"/>
          <w:lang w:eastAsia="zh-CN"/>
        </w:rPr>
        <w:t>（二）交货地点：安庆市境内</w:t>
      </w:r>
    </w:p>
    <w:p>
      <w:pPr>
        <w:spacing w:line="400" w:lineRule="exact"/>
        <w:ind w:firstLine="480" w:firstLineChars="200"/>
        <w:rPr>
          <w:rFonts w:hint="eastAsia" w:ascii="仿宋" w:hAnsi="仿宋" w:eastAsia="仿宋" w:cs="仿宋"/>
          <w:lang w:eastAsia="zh-CN"/>
        </w:rPr>
      </w:pPr>
      <w:r>
        <w:rPr>
          <w:rFonts w:hint="eastAsia" w:ascii="仿宋" w:hAnsi="仿宋" w:eastAsia="仿宋" w:cs="仿宋"/>
        </w:rPr>
        <w:t>（</w:t>
      </w:r>
      <w:r>
        <w:rPr>
          <w:rFonts w:hint="eastAsia" w:ascii="仿宋" w:hAnsi="仿宋" w:eastAsia="仿宋" w:cs="仿宋"/>
          <w:b/>
          <w:bCs/>
          <w:snapToGrid w:val="0"/>
          <w:lang w:eastAsia="zh-CN"/>
        </w:rPr>
        <w:t>三）人员培训要求（如有）</w:t>
      </w:r>
    </w:p>
    <w:p>
      <w:pPr>
        <w:spacing w:line="400" w:lineRule="exact"/>
        <w:ind w:firstLine="480" w:firstLineChars="200"/>
        <w:rPr>
          <w:rFonts w:hint="eastAsia" w:ascii="仿宋" w:hAnsi="仿宋" w:eastAsia="仿宋" w:cs="仿宋"/>
        </w:rPr>
      </w:pPr>
      <w:r>
        <w:rPr>
          <w:rFonts w:hint="eastAsia" w:ascii="仿宋" w:hAnsi="仿宋" w:eastAsia="仿宋" w:cs="仿宋"/>
        </w:rPr>
        <w:t>货物安装、调试、验收合格后，中标人应对招标人的相关人员进行免费现场培训。</w:t>
      </w:r>
    </w:p>
    <w:p>
      <w:pPr>
        <w:spacing w:line="400" w:lineRule="exact"/>
        <w:ind w:firstLine="482" w:firstLineChars="200"/>
        <w:rPr>
          <w:rFonts w:hint="eastAsia" w:ascii="仿宋" w:hAnsi="仿宋" w:eastAsia="仿宋" w:cs="仿宋"/>
          <w:b/>
          <w:bCs/>
          <w:snapToGrid w:val="0"/>
          <w:lang w:eastAsia="zh-CN"/>
        </w:rPr>
      </w:pPr>
      <w:r>
        <w:rPr>
          <w:rFonts w:hint="eastAsia" w:ascii="仿宋" w:hAnsi="仿宋" w:eastAsia="仿宋" w:cs="仿宋"/>
          <w:b/>
          <w:bCs/>
          <w:snapToGrid w:val="0"/>
          <w:lang w:eastAsia="zh-CN"/>
        </w:rPr>
        <w:t>（四）售后服务</w:t>
      </w:r>
    </w:p>
    <w:p>
      <w:pPr>
        <w:spacing w:line="400" w:lineRule="exact"/>
        <w:ind w:firstLine="482" w:firstLineChars="200"/>
        <w:rPr>
          <w:rFonts w:hint="eastAsia" w:ascii="仿宋" w:hAnsi="仿宋" w:eastAsia="仿宋" w:cs="仿宋"/>
          <w:lang w:eastAsia="zh-CN"/>
        </w:rPr>
      </w:pPr>
      <w:r>
        <w:rPr>
          <w:rFonts w:hint="eastAsia" w:ascii="仿宋" w:hAnsi="仿宋" w:eastAsia="仿宋" w:cs="仿宋"/>
          <w:b/>
          <w:bCs/>
          <w:lang w:val="en-US" w:eastAsia="zh-CN"/>
        </w:rPr>
        <w:t>1.</w:t>
      </w:r>
      <w:r>
        <w:rPr>
          <w:rFonts w:hint="eastAsia" w:ascii="仿宋" w:hAnsi="仿宋" w:eastAsia="仿宋" w:cs="仿宋"/>
          <w:b/>
          <w:bCs/>
        </w:rPr>
        <w:t>保修及售后服务：</w:t>
      </w:r>
      <w:r>
        <w:rPr>
          <w:rFonts w:hint="eastAsia" w:ascii="仿宋" w:hAnsi="仿宋" w:eastAsia="仿宋" w:cs="仿宋"/>
        </w:rPr>
        <w:t>依据商品的保修条款及售后服务条款，提供原厂质保，质保期按照国家规定，且不低于所供品牌向用户承诺的质保期限。招标文件另有约定的从其约定。质保期从货物验收合格后算起。</w:t>
      </w:r>
    </w:p>
    <w:p>
      <w:pPr>
        <w:spacing w:line="400" w:lineRule="exact"/>
        <w:ind w:firstLine="482" w:firstLineChars="200"/>
        <w:rPr>
          <w:rFonts w:hint="default" w:ascii="仿宋" w:hAnsi="仿宋" w:eastAsia="仿宋" w:cs="仿宋"/>
          <w:snapToGrid w:val="0"/>
          <w:lang w:val="en-US" w:eastAsia="zh-CN"/>
        </w:rPr>
      </w:pPr>
      <w:r>
        <w:rPr>
          <w:rFonts w:hint="eastAsia" w:ascii="仿宋" w:hAnsi="仿宋" w:eastAsia="仿宋" w:cs="仿宋"/>
          <w:b/>
          <w:bCs/>
          <w:lang w:val="en-US" w:eastAsia="zh-CN"/>
        </w:rPr>
        <w:t>2.供货要求：</w:t>
      </w:r>
      <w:r>
        <w:rPr>
          <w:rFonts w:hint="eastAsia" w:ascii="仿宋" w:hAnsi="仿宋" w:eastAsia="仿宋" w:cs="仿宋"/>
          <w:snapToGrid w:val="0"/>
          <w:lang w:val="en-US" w:eastAsia="zh-CN"/>
        </w:rPr>
        <w:t>供应商成交以后，采购人按批次向供应商发出供货通知书时，成交供应商应在10个日历天内完成供货，否则，采购人有权解除合同，由此造成的全部损失，由成交供应商全部承担。</w:t>
      </w:r>
    </w:p>
    <w:p>
      <w:pPr>
        <w:spacing w:line="400" w:lineRule="exact"/>
        <w:ind w:firstLine="480" w:firstLineChars="200"/>
        <w:rPr>
          <w:rFonts w:hint="eastAsia" w:ascii="仿宋" w:hAnsi="仿宋" w:eastAsia="仿宋" w:cs="仿宋"/>
          <w:snapToGrid w:val="0"/>
          <w:lang w:val="zh-CN"/>
        </w:rPr>
      </w:pPr>
      <w:r>
        <w:rPr>
          <w:rFonts w:hint="eastAsia" w:ascii="仿宋" w:hAnsi="仿宋" w:eastAsia="仿宋" w:cs="仿宋"/>
          <w:snapToGrid w:val="0"/>
          <w:lang w:val="en-US" w:eastAsia="zh-CN"/>
        </w:rPr>
        <w:t>3</w:t>
      </w:r>
      <w:r>
        <w:rPr>
          <w:rFonts w:hint="eastAsia" w:ascii="仿宋" w:hAnsi="仿宋" w:eastAsia="仿宋" w:cs="仿宋"/>
          <w:snapToGrid w:val="0"/>
        </w:rPr>
        <w:t>.</w:t>
      </w:r>
      <w:r>
        <w:rPr>
          <w:rFonts w:hint="eastAsia" w:ascii="仿宋" w:hAnsi="仿宋" w:eastAsia="仿宋" w:cs="仿宋"/>
          <w:snapToGrid w:val="0"/>
          <w:lang w:val="zh-CN"/>
        </w:rPr>
        <w:t>报价方对提供的货物在质保期内，因产品质量而导致的缺陷，必须免费提供包换、包退服务。</w:t>
      </w:r>
    </w:p>
    <w:p>
      <w:pPr>
        <w:spacing w:line="400" w:lineRule="exact"/>
        <w:ind w:firstLine="482" w:firstLineChars="200"/>
        <w:rPr>
          <w:rFonts w:hint="eastAsia" w:ascii="仿宋" w:hAnsi="仿宋" w:eastAsia="仿宋" w:cs="仿宋"/>
        </w:rPr>
      </w:pPr>
      <w:r>
        <w:rPr>
          <w:rFonts w:hint="eastAsia" w:ascii="仿宋" w:hAnsi="仿宋" w:eastAsia="仿宋" w:cs="仿宋"/>
          <w:b/>
          <w:bCs/>
          <w:snapToGrid w:val="0"/>
          <w:lang w:val="en-US" w:eastAsia="zh-CN"/>
        </w:rPr>
        <w:t>4.付款及结算方式：</w:t>
      </w:r>
      <w:r>
        <w:rPr>
          <w:rFonts w:hint="eastAsia" w:ascii="仿宋" w:hAnsi="仿宋" w:eastAsia="仿宋" w:cs="仿宋"/>
        </w:rPr>
        <w:t>验收合格后</w:t>
      </w:r>
      <w:r>
        <w:rPr>
          <w:rFonts w:hint="eastAsia" w:ascii="仿宋" w:hAnsi="仿宋" w:eastAsia="仿宋" w:cs="仿宋"/>
          <w:snapToGrid w:val="0"/>
          <w:lang w:val="zh-CN"/>
        </w:rPr>
        <w:t>，成交供应商按采购人要求凭国家正式发票及相关证明文件向采购人申请付款，采购人收到申请后在</w:t>
      </w:r>
      <w:r>
        <w:rPr>
          <w:rFonts w:hint="eastAsia" w:ascii="仿宋" w:hAnsi="仿宋" w:eastAsia="仿宋" w:cs="仿宋"/>
          <w:snapToGrid w:val="0"/>
          <w:lang w:val="en-US" w:eastAsia="zh-CN"/>
        </w:rPr>
        <w:t>15</w:t>
      </w:r>
      <w:r>
        <w:rPr>
          <w:rFonts w:hint="eastAsia" w:ascii="仿宋" w:hAnsi="仿宋" w:eastAsia="仿宋" w:cs="仿宋"/>
          <w:snapToGrid w:val="0"/>
          <w:lang w:val="zh-CN"/>
        </w:rPr>
        <w:t>个工作日内结清</w:t>
      </w:r>
      <w:r>
        <w:rPr>
          <w:rFonts w:hint="eastAsia" w:ascii="仿宋" w:hAnsi="仿宋" w:eastAsia="仿宋" w:cs="仿宋"/>
          <w:snapToGrid w:val="0"/>
          <w:lang w:val="zh-CN" w:eastAsia="zh-CN"/>
        </w:rPr>
        <w:t>全部</w:t>
      </w:r>
      <w:r>
        <w:rPr>
          <w:rFonts w:hint="eastAsia" w:ascii="仿宋" w:hAnsi="仿宋" w:eastAsia="仿宋" w:cs="仿宋"/>
          <w:snapToGrid w:val="0"/>
          <w:lang w:val="zh-CN"/>
        </w:rPr>
        <w:t>货款。</w:t>
      </w:r>
    </w:p>
    <w:p>
      <w:pPr>
        <w:spacing w:line="400" w:lineRule="exact"/>
        <w:ind w:firstLine="482" w:firstLineChars="200"/>
        <w:rPr>
          <w:rFonts w:hint="eastAsia" w:ascii="仿宋" w:hAnsi="仿宋" w:eastAsia="仿宋" w:cs="仿宋"/>
          <w:b/>
          <w:bCs/>
        </w:rPr>
      </w:pPr>
      <w:r>
        <w:rPr>
          <w:rFonts w:hint="eastAsia" w:ascii="仿宋" w:hAnsi="仿宋" w:eastAsia="仿宋" w:cs="仿宋"/>
          <w:b/>
          <w:bCs/>
        </w:rPr>
        <w:t>（</w:t>
      </w:r>
      <w:r>
        <w:rPr>
          <w:rFonts w:hint="eastAsia" w:ascii="仿宋" w:hAnsi="仿宋" w:eastAsia="仿宋" w:cs="仿宋"/>
          <w:b/>
          <w:bCs/>
          <w:lang w:eastAsia="zh-CN"/>
        </w:rPr>
        <w:t>五</w:t>
      </w:r>
      <w:r>
        <w:rPr>
          <w:rFonts w:hint="eastAsia" w:ascii="仿宋" w:hAnsi="仿宋" w:eastAsia="仿宋" w:cs="仿宋"/>
          <w:b/>
          <w:bCs/>
        </w:rPr>
        <w:t>）验收方法及标准</w:t>
      </w:r>
    </w:p>
    <w:p>
      <w:pPr>
        <w:spacing w:line="400" w:lineRule="exact"/>
        <w:ind w:firstLine="480" w:firstLineChars="200"/>
        <w:rPr>
          <w:rFonts w:hint="eastAsia" w:ascii="仿宋" w:hAnsi="仿宋" w:eastAsia="仿宋" w:cs="仿宋"/>
        </w:rPr>
      </w:pPr>
      <w:r>
        <w:rPr>
          <w:rFonts w:hint="eastAsia" w:ascii="仿宋" w:hAnsi="仿宋" w:eastAsia="仿宋" w:cs="仿宋"/>
        </w:rPr>
        <w:t>按照签订的采购合同</w:t>
      </w:r>
      <w:r>
        <w:rPr>
          <w:rFonts w:hint="eastAsia" w:ascii="仿宋" w:hAnsi="仿宋" w:eastAsia="仿宋" w:cs="仿宋"/>
          <w:lang w:eastAsia="zh-CN"/>
        </w:rPr>
        <w:t>、</w:t>
      </w:r>
      <w:r>
        <w:rPr>
          <w:rFonts w:hint="eastAsia" w:ascii="仿宋" w:hAnsi="仿宋" w:eastAsia="仿宋" w:cs="仿宋"/>
        </w:rPr>
        <w:t>技术要求及标准对每一环节、标准的履约情况进行验收。验收结束后，应当出具验收书，由双方共同签署。</w:t>
      </w:r>
    </w:p>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DA2991"/>
    <w:multiLevelType w:val="multilevel"/>
    <w:tmpl w:val="39DA2991"/>
    <w:lvl w:ilvl="0" w:tentative="0">
      <w:start w:val="1"/>
      <w:numFmt w:val="chineseCountingThousand"/>
      <w:suff w:val="nothing"/>
      <w:lvlText w:val="%1、"/>
      <w:lvlJc w:val="left"/>
      <w:pPr>
        <w:ind w:left="13" w:firstLine="555"/>
      </w:pPr>
      <w:rPr>
        <w:rFonts w:hint="eastAsia" w:cs="Times New Roman"/>
        <w:b w:val="0"/>
      </w:rPr>
    </w:lvl>
    <w:lvl w:ilvl="1" w:tentative="0">
      <w:start w:val="1"/>
      <w:numFmt w:val="japaneseCounting"/>
      <w:lvlText w:val="%2、"/>
      <w:lvlJc w:val="left"/>
      <w:pPr>
        <w:ind w:left="1996" w:hanging="720"/>
      </w:pPr>
      <w:rPr>
        <w:rFonts w:hint="default" w:cs="Times New Roman"/>
      </w:rPr>
    </w:lvl>
    <w:lvl w:ilvl="2" w:tentative="0">
      <w:start w:val="1"/>
      <w:numFmt w:val="lowerRoman"/>
      <w:lvlText w:val="%3."/>
      <w:lvlJc w:val="right"/>
      <w:pPr>
        <w:ind w:left="1821" w:hanging="420"/>
      </w:pPr>
      <w:rPr>
        <w:rFonts w:cs="Times New Roman"/>
      </w:rPr>
    </w:lvl>
    <w:lvl w:ilvl="3" w:tentative="0">
      <w:start w:val="1"/>
      <w:numFmt w:val="decimal"/>
      <w:lvlText w:val="%4."/>
      <w:lvlJc w:val="left"/>
      <w:pPr>
        <w:ind w:left="2241" w:hanging="420"/>
      </w:pPr>
      <w:rPr>
        <w:rFonts w:cs="Times New Roman"/>
      </w:rPr>
    </w:lvl>
    <w:lvl w:ilvl="4" w:tentative="0">
      <w:start w:val="1"/>
      <w:numFmt w:val="lowerLetter"/>
      <w:lvlText w:val="%5)"/>
      <w:lvlJc w:val="left"/>
      <w:pPr>
        <w:ind w:left="2661" w:hanging="420"/>
      </w:pPr>
      <w:rPr>
        <w:rFonts w:cs="Times New Roman"/>
      </w:rPr>
    </w:lvl>
    <w:lvl w:ilvl="5" w:tentative="0">
      <w:start w:val="1"/>
      <w:numFmt w:val="lowerRoman"/>
      <w:lvlText w:val="%6."/>
      <w:lvlJc w:val="right"/>
      <w:pPr>
        <w:ind w:left="3081" w:hanging="420"/>
      </w:pPr>
      <w:rPr>
        <w:rFonts w:cs="Times New Roman"/>
      </w:rPr>
    </w:lvl>
    <w:lvl w:ilvl="6" w:tentative="0">
      <w:start w:val="1"/>
      <w:numFmt w:val="decimal"/>
      <w:lvlText w:val="%7."/>
      <w:lvlJc w:val="left"/>
      <w:pPr>
        <w:ind w:left="3501" w:hanging="420"/>
      </w:pPr>
      <w:rPr>
        <w:rFonts w:cs="Times New Roman"/>
      </w:rPr>
    </w:lvl>
    <w:lvl w:ilvl="7" w:tentative="0">
      <w:start w:val="1"/>
      <w:numFmt w:val="lowerLetter"/>
      <w:lvlText w:val="%8)"/>
      <w:lvlJc w:val="left"/>
      <w:pPr>
        <w:ind w:left="3921" w:hanging="420"/>
      </w:pPr>
      <w:rPr>
        <w:rFonts w:cs="Times New Roman"/>
      </w:rPr>
    </w:lvl>
    <w:lvl w:ilvl="8" w:tentative="0">
      <w:start w:val="1"/>
      <w:numFmt w:val="lowerRoman"/>
      <w:lvlText w:val="%9."/>
      <w:lvlJc w:val="right"/>
      <w:pPr>
        <w:ind w:left="4341"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jc3NjQyZTFiYmM3MTYzYmFmODlkZWFiMTI1YWEifQ=="/>
  </w:docVars>
  <w:rsids>
    <w:rsidRoot w:val="4DE10517"/>
    <w:rsid w:val="30B04157"/>
    <w:rsid w:val="4DE10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4"/>
      <w:szCs w:val="24"/>
      <w:lang w:val="en-US" w:eastAsia="zh-CN" w:bidi="ar-SA"/>
    </w:rPr>
  </w:style>
  <w:style w:type="paragraph" w:styleId="8">
    <w:name w:val="heading 2"/>
    <w:basedOn w:val="1"/>
    <w:next w:val="1"/>
    <w:qFormat/>
    <w:uiPriority w:val="0"/>
    <w:pPr>
      <w:keepNext/>
      <w:keepLines/>
      <w:widowControl/>
      <w:spacing w:before="260" w:after="260" w:line="416" w:lineRule="auto"/>
      <w:jc w:val="left"/>
      <w:outlineLvl w:val="1"/>
    </w:pPr>
    <w:rPr>
      <w:rFonts w:ascii="Arial" w:hAnsi="Arial" w:eastAsia="黑体"/>
      <w:b/>
      <w:sz w:val="32"/>
      <w:szCs w:val="20"/>
    </w:rPr>
  </w:style>
  <w:style w:type="character" w:default="1" w:styleId="12">
    <w:name w:val="Default Paragraph Font"/>
    <w:semiHidden/>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widowControl w:val="0"/>
      <w:ind w:left="420" w:firstLine="420" w:firstLineChars="200"/>
      <w:jc w:val="both"/>
    </w:pPr>
    <w:rPr>
      <w:rFonts w:ascii="Times New Roman" w:hAnsi="@仿宋_GB2312" w:eastAsia="楷体_GB2312" w:cs="Times New Roman"/>
      <w:kern w:val="2"/>
      <w:sz w:val="32"/>
      <w:szCs w:val="20"/>
      <w:lang w:val="en-US" w:eastAsia="zh-CN" w:bidi="ar-SA"/>
    </w:rPr>
  </w:style>
  <w:style w:type="paragraph" w:styleId="3">
    <w:name w:val="Body Text Indent"/>
    <w:basedOn w:val="1"/>
    <w:next w:val="4"/>
    <w:uiPriority w:val="0"/>
    <w:pPr>
      <w:ind w:firstLine="555"/>
    </w:pPr>
  </w:style>
  <w:style w:type="paragraph" w:styleId="4">
    <w:name w:val="envelope return"/>
    <w:basedOn w:val="1"/>
    <w:qFormat/>
    <w:uiPriority w:val="0"/>
    <w:pPr>
      <w:snapToGrid w:val="0"/>
    </w:pPr>
    <w:rPr>
      <w:rFonts w:ascii="Arial" w:hAnsi="Arial"/>
    </w:rPr>
  </w:style>
  <w:style w:type="paragraph" w:styleId="5">
    <w:name w:val="Body Text First Indent"/>
    <w:basedOn w:val="6"/>
    <w:qFormat/>
    <w:uiPriority w:val="0"/>
    <w:pPr>
      <w:spacing w:line="360" w:lineRule="auto"/>
      <w:ind w:firstLine="241" w:firstLineChars="100"/>
      <w:jc w:val="center"/>
    </w:pPr>
    <w:rPr>
      <w:b/>
      <w:bCs/>
      <w:color w:val="000000"/>
      <w:kern w:val="0"/>
    </w:rPr>
  </w:style>
  <w:style w:type="paragraph" w:styleId="6">
    <w:name w:val="Body Text"/>
    <w:basedOn w:val="1"/>
    <w:next w:val="7"/>
    <w:qFormat/>
    <w:uiPriority w:val="0"/>
    <w:rPr>
      <w:sz w:val="21"/>
    </w:rPr>
  </w:style>
  <w:style w:type="paragraph" w:styleId="7">
    <w:name w:val="Date"/>
    <w:basedOn w:val="1"/>
    <w:next w:val="1"/>
    <w:qFormat/>
    <w:uiPriority w:val="0"/>
    <w:rPr>
      <w:b/>
      <w:sz w:val="28"/>
    </w:rPr>
  </w:style>
  <w:style w:type="paragraph" w:styleId="9">
    <w:name w:val="Plain Text"/>
    <w:basedOn w:val="1"/>
    <w:qFormat/>
    <w:uiPriority w:val="0"/>
    <w:rPr>
      <w:rFonts w:ascii="宋体" w:hAnsi="Courier New" w:cs="Courier New"/>
      <w:kern w:val="2"/>
      <w:szCs w:val="21"/>
    </w:rPr>
  </w:style>
  <w:style w:type="paragraph" w:styleId="10">
    <w:name w:val="toc 6"/>
    <w:basedOn w:val="1"/>
    <w:next w:val="1"/>
    <w:qFormat/>
    <w:uiPriority w:val="0"/>
    <w:pPr>
      <w:ind w:left="1050"/>
      <w:jc w:val="left"/>
    </w:pPr>
    <w:rPr>
      <w:rFonts w:ascii="Calibri" w:hAnsi="Calibri" w:eastAsia="宋体" w:cs="Times New Roman"/>
      <w:sz w:val="18"/>
      <w:szCs w:val="18"/>
    </w:rPr>
  </w:style>
  <w:style w:type="paragraph" w:customStyle="1" w:styleId="13">
    <w:name w:val="List Paragraph"/>
    <w:basedOn w:val="1"/>
    <w:qFormat/>
    <w:uiPriority w:val="0"/>
    <w:pPr>
      <w:widowControl/>
      <w:ind w:left="720" w:firstLine="360"/>
      <w:jc w:val="left"/>
    </w:pPr>
    <w:rPr>
      <w:rFonts w:ascii="Calibri" w:hAnsi="Calibri"/>
      <w:sz w:val="22"/>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3765</Words>
  <Characters>4094</Characters>
  <Lines>0</Lines>
  <Paragraphs>0</Paragraphs>
  <TotalTime>1</TotalTime>
  <ScaleCrop>false</ScaleCrop>
  <LinksUpToDate>false</LinksUpToDate>
  <CharactersWithSpaces>4105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2022-10-12T02:37:00Z</dcterms:created>
  <dc:creator>Administrator</dc:creator>
  <cp:lastModifiedBy>Administrator</cp:lastModifiedBy>
  <dcterms:modified xsi:type="dcterms:W3CDTF">2022-10-12T02:42:15Z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3FB5DEABE08B45E0B7D8362437700586</vt:lpwstr>
  </property>
</Properties>
</file>