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beforeLines="100"/>
        <w:jc w:val="left"/>
        <w:outlineLvl w:val="0"/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附件：安庆市疾病预防控制中心结核病实验室维修保养项目</w:t>
      </w:r>
      <w:bookmarkStart w:id="0" w:name="_Toc29513"/>
    </w:p>
    <w:p>
      <w:pPr>
        <w:spacing w:before="240" w:beforeLines="100"/>
        <w:jc w:val="center"/>
        <w:outlineLvl w:val="0"/>
        <w:rPr>
          <w:rFonts w:hint="eastAsia" w:ascii="Times New Roman" w:hAnsi="Times New Roman" w:eastAsia="宋体" w:cs="Times New Roman"/>
          <w:b/>
          <w:bCs/>
          <w:sz w:val="36"/>
          <w:szCs w:val="36"/>
          <w:lang w:val="zh-CN" w:eastAsia="zh-CN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zh-CN" w:eastAsia="zh-CN"/>
        </w:rPr>
        <w:t>项目服务需求及参数要求</w:t>
      </w:r>
      <w:bookmarkEnd w:id="0"/>
    </w:p>
    <w:p>
      <w:pPr>
        <w:spacing w:line="360" w:lineRule="auto"/>
        <w:rPr>
          <w:rFonts w:hint="eastAsia" w:ascii="宋体" w:hAnsi="宋体"/>
          <w:b/>
        </w:rPr>
      </w:pPr>
    </w:p>
    <w:p>
      <w:pPr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  <w:b/>
        </w:rPr>
        <w:t>前注：</w:t>
      </w:r>
      <w:bookmarkStart w:id="2" w:name="_GoBack"/>
      <w:bookmarkEnd w:id="2"/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1.本说明中提出的技术方案仅为参考，如无明确限制，供应商可以进行优化，提供满足用户实际需要的更优（或者性能实质上不低于的）技术方案或者设备配置，且此方案或配置须经</w:t>
      </w:r>
      <w:r>
        <w:rPr>
          <w:rFonts w:hint="eastAsia" w:ascii="仿宋" w:hAnsi="仿宋" w:eastAsia="仿宋" w:cs="仿宋"/>
          <w:lang w:eastAsia="zh-CN"/>
        </w:rPr>
        <w:t>评标委员会</w:t>
      </w:r>
      <w:r>
        <w:rPr>
          <w:rFonts w:hint="eastAsia" w:ascii="仿宋" w:hAnsi="仿宋" w:eastAsia="仿宋" w:cs="仿宋"/>
        </w:rPr>
        <w:t>评审认可。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2.为鼓励不同品牌的充分竞争，如某设备的某技术参数或要求属于个别品牌专有，则该技术参数及要求不具有限制性，供应商可对该参数或要求进行适当调整，并应当说明调整的理由，且此调整须经</w:t>
      </w:r>
      <w:r>
        <w:rPr>
          <w:rFonts w:hint="eastAsia" w:ascii="仿宋" w:hAnsi="仿宋" w:eastAsia="仿宋" w:cs="仿宋"/>
          <w:lang w:eastAsia="zh-CN"/>
        </w:rPr>
        <w:t>评标委员会</w:t>
      </w:r>
      <w:r>
        <w:rPr>
          <w:rFonts w:hint="eastAsia" w:ascii="仿宋" w:hAnsi="仿宋" w:eastAsia="仿宋" w:cs="仿宋"/>
        </w:rPr>
        <w:t>评审认可。</w:t>
      </w:r>
    </w:p>
    <w:p>
      <w:pPr>
        <w:spacing w:line="440" w:lineRule="exact"/>
        <w:ind w:firstLine="480" w:firstLineChars="200"/>
        <w:rPr>
          <w:rFonts w:hint="eastAsia"/>
          <w:lang w:val="zh-CN"/>
        </w:rPr>
      </w:pPr>
      <w:r>
        <w:rPr>
          <w:rFonts w:hint="eastAsia" w:ascii="仿宋" w:hAnsi="仿宋" w:eastAsia="仿宋" w:cs="仿宋"/>
        </w:rPr>
        <w:t>3.为有助于供应商选择产品，项目说明中可能提供了推荐品牌（或型号）、参考品牌（或型号）等，这些品牌（或型号）仅供参考，并无限制性。供应商可以选择性能不低于推荐（或参考）的品牌（或型号）的其他品牌产品，但</w:t>
      </w:r>
      <w:r>
        <w:rPr>
          <w:rFonts w:hint="eastAsia" w:ascii="仿宋" w:hAnsi="仿宋" w:eastAsia="仿宋" w:cs="仿宋"/>
          <w:lang w:eastAsia="zh-CN"/>
        </w:rPr>
        <w:t>成交供应商</w:t>
      </w:r>
      <w:r>
        <w:rPr>
          <w:rFonts w:hint="eastAsia" w:ascii="仿宋" w:hAnsi="仿宋" w:eastAsia="仿宋" w:cs="仿宋"/>
        </w:rPr>
        <w:t>应当提供有关技术证明资料，未提供的可能导致无效。</w:t>
      </w:r>
    </w:p>
    <w:p>
      <w:pPr>
        <w:pStyle w:val="10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rPr>
          <w:rFonts w:ascii="宋体" w:hAnsi="宋体" w:cs="宋体"/>
          <w:color w:val="000000"/>
        </w:rPr>
      </w:pPr>
      <w:r>
        <w:rPr>
          <w:rFonts w:hint="eastAsia" w:ascii="黑体" w:hAnsi="黑体" w:eastAsia="黑体" w:cs="黑体"/>
          <w:sz w:val="28"/>
          <w:szCs w:val="36"/>
          <w:lang w:eastAsia="zh-CN"/>
        </w:rPr>
        <w:t>一、技术参数及要求</w:t>
      </w:r>
      <w:bookmarkStart w:id="1" w:name="bookmark47"/>
    </w:p>
    <w:bookmarkEnd w:id="1"/>
    <w:tbl>
      <w:tblPr>
        <w:tblStyle w:val="7"/>
        <w:tblW w:w="9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911"/>
        <w:gridCol w:w="1285"/>
        <w:gridCol w:w="674"/>
        <w:gridCol w:w="813"/>
        <w:gridCol w:w="4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9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44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项目特征描述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更换高效过滤器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484*484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4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1.名称：高过过滤器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2.规格：484*484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3.技术要求：铝型材外框，表面阳极处理；滤芯采用玻纤滤纸；过滤效率≥99.99%；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4.清单项目特征不完善处，依据设计图纸及规范；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5.工作内容：制作安装。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更换高效过滤器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320*320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1.名称：高过过滤器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2.规格：320*320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3.技术要求：铝型材外框，表面阳极处理；滤芯采用玻纤滤纸；过滤效率≥99.99%；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4.清单项目特征不完善处，依据设计图纸及规范；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5.工作内容：制作安装。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更换中效过滤器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6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1.名称：中效过滤器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2.技术要求：中效过滤器为袋式过滤器，采用合成纤维“V”型超声波缝合，滤料内含有防静电纤维，对空气尘埃颗粒过滤好，具有过滤面积大、容尘量大、使用寿命长等特点。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3.清单项目特征不完善处，依据设计图纸及规范；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4.工作内容：制作安装。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更换初效过滤器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400*300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4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1.名称：初效过滤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2.规格：400*300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3.技术要求：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粗尘过滤，空调通风系统保护性预过滤；滤材以PP纤维编织制程的黑色尼龙网；具有耐酸碱性，耐腐蚀性，可反复清洗。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4.清单项目特征不完善处，依据设计图纸及规范；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5.工作内容：制作安装。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更换初效过滤器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1600*480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1.名称：初效过滤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2.规格：1600*480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3.技术要求：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粗尘过滤，空调通风系统保护性预过滤；滤材以PP纤维编织制程的黑色尼龙网；具有耐酸碱性，耐腐蚀性，可反复清洗。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4.清单项目特征不完善处，依据设计图纸及规范；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5.工作内容：制作安装。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更换初效过滤器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800*600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1.名称：初效过滤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2.规格：800*600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3.技术要求：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粗尘过滤，空调通风系统保护性预过滤；滤材以PP纤维编织制程的黑色尼龙网；具有耐酸碱性，耐腐蚀性，可反复清洗。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4.清单项目特征不完善处，依据设计图纸及规范；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5.工作内容：制作安装。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清洁保养静压箱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6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对现有静压箱进行检查、清洁、保养。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净化风机保养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6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对现有净化风机进行检查、维修、保养。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更换净化风机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DFW-305S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名称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：净化专用风机；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型号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DFW-305S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3.技术要求：离心式高效能低噪音节能风机，满足送风要求，功率1.1-5KW，采用型钢支架，带专用减震器；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4.清单项目特征不完善处，依据设计图纸及规范；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5.工作内容：安装调试。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更换防腐离心风机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FT 4-72-6A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1.类型：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PP材质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防腐变频离心风机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2.规格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FT 4-72-6A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3.技术要求：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风量：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6677-13353m³/h，转速：1450r/min，功率：4kw；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采用A级同质透芯优质耐腐蚀硬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PP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板材制作，连接方式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热风焊接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机械碰焊成型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壁厚4-12mm，叶轮经校准平衡，配套节能电机：采用优质高效率变频三相异步电动机，品牌节能产品。电机电源：380V50HZ；电机防护等级IP55；绝缘系数：F级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4.清单项目特征不完善处，依据设计图纸及规范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5.工作内容：安装调试。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产品合格检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测报告（须由地市级及以上质检部门检测出具）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更换变频器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6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将原有坏的变频器拆除，更换新的变频器，节能效果更佳。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其它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6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434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pStyle w:val="10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说明</w:t>
            </w:r>
          </w:p>
        </w:tc>
        <w:tc>
          <w:tcPr>
            <w:tcW w:w="9117" w:type="dxa"/>
            <w:gridSpan w:val="5"/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</w:rPr>
              <w:t>供应商的报价应包括：</w:t>
            </w:r>
            <w:r>
              <w:rPr>
                <w:rFonts w:hint="eastAsia" w:ascii="仿宋" w:hAnsi="仿宋" w:eastAsia="仿宋" w:cs="仿宋"/>
                <w:lang w:eastAsia="zh-CN"/>
              </w:rPr>
              <w:t>设备采购</w:t>
            </w:r>
            <w:r>
              <w:rPr>
                <w:rFonts w:hint="eastAsia" w:ascii="仿宋" w:hAnsi="仿宋" w:eastAsia="仿宋" w:cs="仿宋"/>
              </w:rPr>
              <w:t>、运输、</w:t>
            </w:r>
            <w:r>
              <w:rPr>
                <w:rFonts w:hint="eastAsia" w:ascii="仿宋" w:hAnsi="仿宋" w:eastAsia="仿宋" w:cs="仿宋"/>
                <w:lang w:eastAsia="zh-CN"/>
              </w:rPr>
              <w:t>辅材、安装调试、检测、</w:t>
            </w:r>
            <w:r>
              <w:rPr>
                <w:rFonts w:hint="eastAsia" w:ascii="仿宋" w:hAnsi="仿宋" w:eastAsia="仿宋" w:cs="仿宋"/>
              </w:rPr>
              <w:t>管理</w:t>
            </w:r>
            <w:r>
              <w:rPr>
                <w:rFonts w:hint="eastAsia" w:ascii="仿宋" w:hAnsi="仿宋" w:eastAsia="仿宋" w:cs="仿宋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</w:rPr>
              <w:t>税金</w:t>
            </w:r>
            <w:r>
              <w:rPr>
                <w:rFonts w:hint="eastAsia" w:ascii="仿宋" w:hAnsi="仿宋" w:eastAsia="仿宋" w:cs="仿宋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交付后约定期限内维保</w:t>
            </w:r>
            <w:r>
              <w:rPr>
                <w:rFonts w:hint="eastAsia" w:ascii="仿宋" w:hAnsi="仿宋" w:eastAsia="仿宋" w:cs="仿宋"/>
              </w:rPr>
              <w:t>等为完成</w:t>
            </w:r>
            <w:r>
              <w:rPr>
                <w:rFonts w:hint="eastAsia" w:ascii="仿宋" w:hAnsi="仿宋" w:eastAsia="仿宋" w:cs="仿宋"/>
                <w:lang w:eastAsia="zh-CN"/>
              </w:rPr>
              <w:t>询价</w:t>
            </w:r>
            <w:r>
              <w:rPr>
                <w:rFonts w:hint="eastAsia" w:ascii="仿宋" w:hAnsi="仿宋" w:eastAsia="仿宋" w:cs="仿宋"/>
              </w:rPr>
              <w:t>文件规定全部内容所需的一切应有费用。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）</w:t>
            </w:r>
          </w:p>
          <w:p>
            <w:pPr>
              <w:spacing w:line="400" w:lineRule="exact"/>
              <w:ind w:firstLine="48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</w:rPr>
              <w:t>投标供应商必须保证所投产品为全新、未使用过的产品。</w:t>
            </w:r>
          </w:p>
        </w:tc>
      </w:tr>
    </w:tbl>
    <w:p>
      <w:pPr>
        <w:spacing w:line="400" w:lineRule="exact"/>
        <w:ind w:firstLine="482" w:firstLineChars="200"/>
        <w:rPr>
          <w:rFonts w:hint="eastAsia" w:ascii="仿宋" w:hAnsi="仿宋" w:eastAsia="仿宋" w:cs="仿宋"/>
          <w:b/>
          <w:bCs/>
          <w:snapToGrid w:val="0"/>
          <w:lang w:val="zh-CN" w:eastAsia="zh-CN"/>
        </w:rPr>
      </w:pPr>
      <w:r>
        <w:rPr>
          <w:rFonts w:hint="eastAsia" w:ascii="仿宋" w:hAnsi="仿宋" w:eastAsia="仿宋" w:cs="仿宋"/>
          <w:b/>
          <w:bCs/>
          <w:snapToGrid w:val="0"/>
          <w:lang w:val="zh-CN" w:eastAsia="zh-CN"/>
        </w:rPr>
        <w:t>二.商务要求</w:t>
      </w:r>
    </w:p>
    <w:p>
      <w:pPr>
        <w:spacing w:line="400" w:lineRule="exact"/>
        <w:ind w:firstLine="482" w:firstLineChars="200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b/>
          <w:bCs/>
        </w:rPr>
        <w:t>（一）报价要求：</w:t>
      </w:r>
      <w:r>
        <w:rPr>
          <w:rFonts w:hint="eastAsia" w:ascii="仿宋" w:hAnsi="仿宋" w:eastAsia="仿宋" w:cs="仿宋"/>
        </w:rPr>
        <w:t>供应商的报价应包括：</w:t>
      </w:r>
      <w:r>
        <w:rPr>
          <w:rFonts w:hint="eastAsia" w:ascii="仿宋" w:hAnsi="仿宋" w:eastAsia="仿宋" w:cs="仿宋"/>
          <w:highlight w:val="none"/>
          <w:lang w:eastAsia="zh-CN"/>
        </w:rPr>
        <w:t>设备采购</w:t>
      </w:r>
      <w:r>
        <w:rPr>
          <w:rFonts w:hint="eastAsia" w:ascii="仿宋" w:hAnsi="仿宋" w:eastAsia="仿宋" w:cs="仿宋"/>
          <w:highlight w:val="none"/>
        </w:rPr>
        <w:t>、运输、</w:t>
      </w:r>
      <w:r>
        <w:rPr>
          <w:rFonts w:hint="eastAsia" w:ascii="仿宋" w:hAnsi="仿宋" w:eastAsia="仿宋" w:cs="仿宋"/>
          <w:color w:val="000000"/>
          <w:highlight w:val="none"/>
          <w:lang w:eastAsia="zh-CN"/>
        </w:rPr>
        <w:t>辅材</w:t>
      </w:r>
      <w:r>
        <w:rPr>
          <w:rFonts w:hint="eastAsia" w:ascii="仿宋" w:hAnsi="仿宋" w:eastAsia="仿宋" w:cs="仿宋"/>
          <w:highlight w:val="none"/>
          <w:lang w:eastAsia="zh-CN"/>
        </w:rPr>
        <w:t>、安装调试、检测、</w:t>
      </w:r>
      <w:r>
        <w:rPr>
          <w:rFonts w:hint="eastAsia" w:ascii="仿宋" w:hAnsi="仿宋" w:eastAsia="仿宋" w:cs="仿宋"/>
          <w:highlight w:val="none"/>
        </w:rPr>
        <w:t>管理及税金等为完成</w:t>
      </w:r>
      <w:r>
        <w:rPr>
          <w:rFonts w:hint="eastAsia" w:ascii="仿宋" w:hAnsi="仿宋" w:eastAsia="仿宋" w:cs="仿宋"/>
          <w:highlight w:val="none"/>
          <w:lang w:eastAsia="zh-CN"/>
        </w:rPr>
        <w:t>询价</w:t>
      </w:r>
      <w:r>
        <w:rPr>
          <w:rFonts w:hint="eastAsia" w:ascii="仿宋" w:hAnsi="仿宋" w:eastAsia="仿宋" w:cs="仿宋"/>
          <w:highlight w:val="none"/>
        </w:rPr>
        <w:t>文件规定全部内容所需的一切应有费用。</w:t>
      </w:r>
    </w:p>
    <w:p>
      <w:pPr>
        <w:spacing w:line="400" w:lineRule="exact"/>
        <w:ind w:firstLine="482" w:firstLineChars="200"/>
        <w:rPr>
          <w:rFonts w:hint="eastAsia" w:ascii="仿宋" w:hAnsi="仿宋" w:eastAsia="仿宋" w:cs="仿宋"/>
          <w:snapToGrid w:val="0"/>
          <w:highlight w:val="none"/>
          <w:lang w:val="zh-CN" w:eastAsia="zh-CN"/>
        </w:rPr>
      </w:pPr>
      <w:r>
        <w:rPr>
          <w:rFonts w:hint="eastAsia" w:ascii="仿宋" w:hAnsi="仿宋" w:eastAsia="仿宋" w:cs="仿宋"/>
          <w:b/>
          <w:bCs/>
          <w:snapToGrid w:val="0"/>
          <w:highlight w:val="none"/>
          <w:lang w:eastAsia="zh-CN"/>
        </w:rPr>
        <w:t>（二）交货、安装地点：安庆市境内</w:t>
      </w:r>
    </w:p>
    <w:p>
      <w:pPr>
        <w:spacing w:line="400" w:lineRule="exact"/>
        <w:ind w:firstLine="482" w:firstLineChars="200"/>
        <w:rPr>
          <w:rFonts w:hint="eastAsia" w:ascii="仿宋" w:hAnsi="仿宋" w:eastAsia="仿宋" w:cs="仿宋"/>
          <w:b/>
          <w:bCs/>
          <w:snapToGrid w:val="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napToGrid w:val="0"/>
          <w:highlight w:val="none"/>
          <w:lang w:eastAsia="zh-CN"/>
        </w:rPr>
        <w:t>（三）售后服务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  <w:lang w:val="zh-CN"/>
        </w:rPr>
        <w:t>1.</w:t>
      </w:r>
      <w:r>
        <w:rPr>
          <w:rFonts w:hint="eastAsia" w:ascii="仿宋" w:hAnsi="仿宋" w:eastAsia="仿宋" w:cs="仿宋"/>
          <w:highlight w:val="none"/>
          <w:lang w:val="zh-CN" w:eastAsia="zh-CN"/>
        </w:rPr>
        <w:t>免费</w:t>
      </w:r>
      <w:r>
        <w:rPr>
          <w:rFonts w:hint="eastAsia" w:ascii="仿宋" w:hAnsi="仿宋" w:eastAsia="仿宋" w:cs="仿宋"/>
          <w:highlight w:val="none"/>
          <w:lang w:val="zh-CN"/>
        </w:rPr>
        <w:t>质保期：</w:t>
      </w:r>
      <w:r>
        <w:rPr>
          <w:rFonts w:hint="eastAsia" w:ascii="仿宋" w:hAnsi="仿宋" w:eastAsia="仿宋" w:cs="仿宋"/>
          <w:highlight w:val="none"/>
          <w:lang w:val="zh-CN" w:eastAsia="zh-CN"/>
        </w:rPr>
        <w:t>自全部货物安装完毕并经采购人验收合格之日起</w:t>
      </w:r>
      <w:r>
        <w:rPr>
          <w:rFonts w:hint="eastAsia" w:ascii="仿宋" w:hAnsi="仿宋" w:eastAsia="仿宋" w:cs="仿宋"/>
          <w:highlight w:val="none"/>
          <w:lang w:val="en-US" w:eastAsia="zh-CN"/>
        </w:rPr>
        <w:t>1年</w:t>
      </w:r>
      <w:r>
        <w:rPr>
          <w:rFonts w:hint="eastAsia" w:ascii="仿宋" w:hAnsi="仿宋" w:eastAsia="仿宋" w:cs="仿宋"/>
          <w:highlight w:val="none"/>
        </w:rPr>
        <w:t>。</w:t>
      </w:r>
      <w:r>
        <w:rPr>
          <w:rFonts w:hint="eastAsia" w:ascii="仿宋" w:hAnsi="仿宋" w:eastAsia="仿宋" w:cs="仿宋"/>
          <w:highlight w:val="none"/>
          <w:lang w:eastAsia="zh-CN"/>
        </w:rPr>
        <w:t>免费</w:t>
      </w:r>
      <w:r>
        <w:rPr>
          <w:rFonts w:hint="eastAsia" w:ascii="仿宋" w:hAnsi="仿宋" w:eastAsia="仿宋" w:cs="仿宋"/>
          <w:highlight w:val="none"/>
        </w:rPr>
        <w:t>质保期内，除人为因素或不可抗拒的环境因素导致设备故障，</w:t>
      </w:r>
      <w:r>
        <w:rPr>
          <w:rFonts w:hint="eastAsia" w:ascii="仿宋" w:hAnsi="仿宋" w:eastAsia="仿宋" w:cs="仿宋"/>
          <w:highlight w:val="none"/>
          <w:lang w:eastAsia="zh-CN"/>
        </w:rPr>
        <w:t>对设备维护维修成交</w:t>
      </w:r>
      <w:r>
        <w:rPr>
          <w:rFonts w:hint="eastAsia" w:ascii="仿宋" w:hAnsi="仿宋" w:eastAsia="仿宋" w:cs="仿宋"/>
          <w:highlight w:val="none"/>
        </w:rPr>
        <w:t>人不收取任何费用。免费质保期</w:t>
      </w:r>
      <w:r>
        <w:rPr>
          <w:rFonts w:hint="eastAsia" w:ascii="仿宋" w:hAnsi="仿宋" w:eastAsia="仿宋" w:cs="仿宋"/>
          <w:highlight w:val="none"/>
          <w:lang w:val="en-US" w:eastAsia="zh-CN"/>
        </w:rPr>
        <w:t>外，设备产品原厂质保期内</w:t>
      </w:r>
      <w:r>
        <w:rPr>
          <w:rFonts w:hint="eastAsia" w:ascii="仿宋" w:hAnsi="仿宋" w:eastAsia="仿宋" w:cs="仿宋"/>
          <w:highlight w:val="none"/>
        </w:rPr>
        <w:t>，</w:t>
      </w:r>
      <w:r>
        <w:rPr>
          <w:rFonts w:hint="eastAsia" w:ascii="仿宋" w:hAnsi="仿宋" w:eastAsia="仿宋" w:cs="仿宋"/>
          <w:highlight w:val="none"/>
          <w:lang w:eastAsia="zh-CN"/>
        </w:rPr>
        <w:t>成交</w:t>
      </w:r>
      <w:r>
        <w:rPr>
          <w:rFonts w:hint="eastAsia" w:ascii="仿宋" w:hAnsi="仿宋" w:eastAsia="仿宋" w:cs="仿宋"/>
          <w:highlight w:val="none"/>
        </w:rPr>
        <w:t>人</w:t>
      </w:r>
      <w:r>
        <w:rPr>
          <w:rFonts w:hint="eastAsia" w:ascii="仿宋" w:hAnsi="仿宋" w:eastAsia="仿宋" w:cs="仿宋"/>
          <w:highlight w:val="none"/>
          <w:lang w:val="en-US" w:eastAsia="zh-CN"/>
        </w:rPr>
        <w:t>提供售后服务且</w:t>
      </w:r>
      <w:r>
        <w:rPr>
          <w:rFonts w:hint="eastAsia" w:ascii="仿宋" w:hAnsi="仿宋" w:eastAsia="仿宋" w:cs="仿宋"/>
          <w:highlight w:val="none"/>
        </w:rPr>
        <w:t>不收取任何费用。</w:t>
      </w:r>
    </w:p>
    <w:p>
      <w:pPr>
        <w:pStyle w:val="11"/>
        <w:rPr>
          <w:rFonts w:hint="default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highlight w:val="none"/>
          <w:lang w:val="zh-CN"/>
        </w:rPr>
        <w:t>售后服务需求提供7*24小时响应，</w:t>
      </w:r>
      <w:r>
        <w:rPr>
          <w:rFonts w:hint="eastAsia" w:ascii="仿宋" w:hAnsi="仿宋" w:eastAsia="仿宋" w:cs="仿宋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highlight w:val="none"/>
          <w:lang w:val="zh-CN"/>
        </w:rPr>
        <w:t>小时内到达现场实施维修。</w:t>
      </w:r>
      <w:r>
        <w:rPr>
          <w:rFonts w:hint="eastAsia" w:ascii="仿宋" w:hAnsi="仿宋" w:eastAsia="仿宋" w:cs="仿宋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highlight w:val="none"/>
          <w:lang w:val="zh-CN"/>
        </w:rPr>
        <w:t>小时仍未排除故障、恢复正常运转的，由供应商在</w:t>
      </w:r>
      <w:r>
        <w:rPr>
          <w:rFonts w:hint="eastAsia" w:ascii="仿宋" w:hAnsi="仿宋" w:eastAsia="仿宋" w:cs="仿宋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highlight w:val="none"/>
          <w:lang w:val="zh-CN"/>
        </w:rPr>
        <w:t>小时内提供同类型备品、备件等。</w:t>
      </w:r>
    </w:p>
    <w:p>
      <w:pPr>
        <w:numPr>
          <w:ilvl w:val="0"/>
          <w:numId w:val="2"/>
        </w:numPr>
        <w:spacing w:line="400" w:lineRule="exact"/>
        <w:ind w:firstLine="480" w:firstLineChars="200"/>
        <w:rPr>
          <w:rFonts w:hint="eastAsia" w:ascii="仿宋" w:hAnsi="仿宋" w:eastAsia="仿宋" w:cs="仿宋"/>
          <w:snapToGrid w:val="0"/>
          <w:lang w:val="zh-CN"/>
        </w:rPr>
      </w:pPr>
      <w:r>
        <w:rPr>
          <w:rFonts w:hint="eastAsia" w:ascii="仿宋" w:hAnsi="仿宋" w:eastAsia="仿宋" w:cs="仿宋"/>
          <w:snapToGrid w:val="0"/>
          <w:lang w:val="zh-CN"/>
        </w:rPr>
        <w:t>报价方对提供的货物在质保期内，因产品质量而导致的缺陷，必须免费提供包修、包换、包退服务。</w:t>
      </w:r>
    </w:p>
    <w:p>
      <w:pPr>
        <w:numPr>
          <w:ilvl w:val="0"/>
          <w:numId w:val="0"/>
        </w:numPr>
        <w:spacing w:line="400" w:lineRule="exact"/>
        <w:ind w:firstLine="480" w:firstLineChars="200"/>
        <w:rPr>
          <w:rFonts w:hint="eastAsia" w:ascii="仿宋" w:hAnsi="仿宋" w:eastAsia="仿宋" w:cs="仿宋"/>
          <w:snapToGrid w:val="0"/>
          <w:lang w:val="zh-CN"/>
        </w:rPr>
      </w:pPr>
      <w:r>
        <w:rPr>
          <w:rFonts w:hint="eastAsia" w:ascii="仿宋" w:hAnsi="仿宋" w:eastAsia="仿宋" w:cs="仿宋"/>
          <w:snapToGrid w:val="0"/>
          <w:lang w:val="zh-CN" w:eastAsia="zh-CN"/>
        </w:rPr>
        <w:t>（四）</w:t>
      </w:r>
      <w:r>
        <w:rPr>
          <w:rFonts w:hint="eastAsia" w:ascii="仿宋" w:hAnsi="仿宋" w:eastAsia="仿宋" w:cs="仿宋"/>
          <w:snapToGrid w:val="0"/>
          <w:lang w:val="zh-CN"/>
        </w:rPr>
        <w:t>踏勘现场：投标人自行踏勘现场。投标人应认真对本项目实施现场环境进行踏勘，对项目环境和影响等因素，做出理性的判断和估价。投标人自行负责在踏勘现场发生的人员伤亡和财产损失。</w:t>
      </w:r>
      <w:r>
        <w:rPr>
          <w:rFonts w:hint="eastAsia" w:ascii="仿宋" w:hAnsi="仿宋" w:eastAsia="仿宋" w:cs="仿宋"/>
          <w:snapToGrid w:val="0"/>
          <w:lang w:val="zh-CN" w:eastAsia="zh-CN"/>
        </w:rPr>
        <w:t>成交</w:t>
      </w:r>
      <w:r>
        <w:rPr>
          <w:rFonts w:hint="eastAsia" w:ascii="仿宋" w:hAnsi="仿宋" w:eastAsia="仿宋" w:cs="仿宋"/>
          <w:snapToGrid w:val="0"/>
          <w:lang w:val="zh-CN"/>
        </w:rPr>
        <w:t>后签订合同时和服务过程中，投标人不得以不了解或不完全了解现场情况为由，提出任何形式的增加费用或索赔的要求。</w:t>
      </w:r>
    </w:p>
    <w:p>
      <w:pPr>
        <w:autoSpaceDE w:val="0"/>
        <w:autoSpaceDN w:val="0"/>
        <w:spacing w:line="400" w:lineRule="exact"/>
        <w:ind w:firstLine="482" w:firstLineChars="200"/>
        <w:rPr>
          <w:rFonts w:hint="eastAsia" w:ascii="仿宋" w:hAnsi="仿宋" w:eastAsia="仿宋" w:cs="仿宋"/>
          <w:b/>
          <w:bCs/>
          <w:snapToGrid w:val="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lang w:val="en-US" w:eastAsia="zh-CN"/>
        </w:rPr>
        <w:t>（五）付款及结算方式：</w:t>
      </w:r>
      <w:r>
        <w:rPr>
          <w:rFonts w:hint="eastAsia" w:ascii="仿宋" w:hAnsi="仿宋" w:eastAsia="仿宋" w:cs="仿宋"/>
          <w:snapToGrid w:val="0"/>
          <w:highlight w:val="none"/>
          <w:lang w:val="en-US" w:eastAsia="zh-CN"/>
        </w:rPr>
        <w:t>签订合同后，待全部标的物交付现场指定地点并安装调试完毕后，经采购人验收合格后15个工作日内付至合同金额97%，剩余3%作为质保金，待免费质保期满后一次性无息付清。</w:t>
      </w:r>
    </w:p>
    <w:p>
      <w:pPr>
        <w:spacing w:line="400" w:lineRule="exact"/>
        <w:ind w:firstLine="482" w:firstLineChars="200"/>
        <w:rPr>
          <w:rFonts w:hint="eastAsia" w:ascii="仿宋" w:hAnsi="仿宋" w:eastAsia="仿宋" w:cs="仿宋"/>
          <w:snapToGrid w:val="0"/>
          <w:highlight w:val="red"/>
          <w:lang w:val="zh-CN"/>
        </w:rPr>
      </w:pPr>
      <w:r>
        <w:rPr>
          <w:rFonts w:hint="eastAsia" w:ascii="仿宋" w:hAnsi="仿宋" w:eastAsia="仿宋" w:cs="仿宋"/>
          <w:b/>
          <w:bCs/>
          <w:highlight w:val="none"/>
          <w:lang w:val="en-US" w:eastAsia="zh-CN"/>
        </w:rPr>
        <w:t>（五）履约保证金（如有）</w:t>
      </w:r>
      <w:r>
        <w:rPr>
          <w:rFonts w:hint="eastAsia" w:ascii="仿宋" w:hAnsi="仿宋" w:eastAsia="仿宋" w:cs="仿宋"/>
          <w:snapToGrid w:val="0"/>
          <w:highlight w:val="none"/>
          <w:lang w:val="en-US" w:eastAsia="zh-CN"/>
        </w:rPr>
        <w:t>：成交价的2.5%，在合同签订前汇入采购人单位。</w:t>
      </w:r>
    </w:p>
    <w:p>
      <w:pPr>
        <w:spacing w:line="400" w:lineRule="exact"/>
        <w:ind w:firstLine="482" w:firstLineChars="200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（</w:t>
      </w:r>
      <w:r>
        <w:rPr>
          <w:rFonts w:hint="eastAsia" w:ascii="仿宋" w:hAnsi="仿宋" w:eastAsia="仿宋" w:cs="仿宋"/>
          <w:b/>
          <w:bCs/>
          <w:lang w:eastAsia="zh-CN"/>
        </w:rPr>
        <w:t>六</w:t>
      </w:r>
      <w:r>
        <w:rPr>
          <w:rFonts w:hint="eastAsia" w:ascii="仿宋" w:hAnsi="仿宋" w:eastAsia="仿宋" w:cs="仿宋"/>
          <w:b/>
          <w:bCs/>
        </w:rPr>
        <w:t>）</w:t>
      </w:r>
      <w:r>
        <w:rPr>
          <w:rFonts w:hint="eastAsia" w:ascii="仿宋" w:hAnsi="仿宋" w:eastAsia="仿宋" w:cs="仿宋"/>
          <w:b/>
          <w:bCs/>
          <w:lang w:eastAsia="zh-CN"/>
        </w:rPr>
        <w:t>质量要求</w:t>
      </w:r>
      <w:r>
        <w:rPr>
          <w:rFonts w:hint="eastAsia" w:ascii="仿宋" w:hAnsi="仿宋" w:eastAsia="仿宋" w:cs="仿宋"/>
          <w:b/>
          <w:bCs/>
        </w:rPr>
        <w:t>及验收标准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1.</w:t>
      </w:r>
      <w:r>
        <w:rPr>
          <w:rFonts w:hint="eastAsia" w:ascii="仿宋" w:hAnsi="仿宋" w:eastAsia="仿宋" w:cs="仿宋"/>
          <w:lang w:eastAsia="zh-CN"/>
        </w:rPr>
        <w:t>所有产品的供货严格按照磋商文件采购清单和技术要求进行供货，保证所供货产品质量及规格与询价文件中的清单及技术要求相一致，并符合国家、地方、行业相关的标准规范。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2.采购人未明确的产品材料均应达到国家或行业标准。所有产品须经采购人确认后，方可供货和安装。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3.所供产品将严格按磋商文件技术要求进行验收。成交人所供产品的材质、尺寸、外观颜色等规格参数，要严格遵照采购人提供的要求；供货的产品数量以货到现场，实收数量为准，如有缺失、破损，成交人无条件免费补货且不得影响采购人正常使用。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4.工程完工后，成交人要带风量罩、尘埃粒子计数器、室内空气质量检测仪、噪音测试仪在招标人监督下进行现场测试。</w:t>
      </w:r>
      <w:r>
        <w:rPr>
          <w:rFonts w:hint="eastAsia" w:ascii="仿宋" w:hAnsi="仿宋" w:eastAsia="仿宋" w:cs="仿宋"/>
          <w:lang w:eastAsia="zh-CN"/>
        </w:rPr>
        <w:t>中标人和招标人双方依据项目内容和进度共同实施验收工作，验收结果和验收报告经双方确认后生效。</w:t>
      </w:r>
    </w:p>
    <w:p/>
    <w:sectPr>
      <w:pgSz w:w="11906" w:h="16838"/>
      <w:pgMar w:top="141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2DD38A"/>
    <w:multiLevelType w:val="singleLevel"/>
    <w:tmpl w:val="AC2DD38A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8B87019"/>
    <w:multiLevelType w:val="singleLevel"/>
    <w:tmpl w:val="C8B87019"/>
    <w:lvl w:ilvl="0" w:tentative="0">
      <w:start w:val="1"/>
      <w:numFmt w:val="decimal"/>
      <w:suff w:val="nothing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mYjc3NjQyZTFiYmM3MTYzYmFmODlkZWFiMTI1YWEifQ=="/>
  </w:docVars>
  <w:rsids>
    <w:rsidRoot w:val="0C126009"/>
    <w:rsid w:val="0C126009"/>
    <w:rsid w:val="645E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spacing w:after="120" w:afterLines="0" w:line="312" w:lineRule="atLeast"/>
      <w:ind w:left="420" w:firstLine="420"/>
      <w:textAlignment w:val="baseline"/>
    </w:pPr>
    <w:rPr>
      <w:rFonts w:ascii="Times New Roman" w:hAnsi="Times New Roman" w:eastAsia="宋体"/>
      <w:color w:val="auto"/>
      <w:kern w:val="0"/>
    </w:rPr>
  </w:style>
  <w:style w:type="paragraph" w:styleId="3">
    <w:name w:val="Body Text Indent"/>
    <w:basedOn w:val="1"/>
    <w:next w:val="4"/>
    <w:qFormat/>
    <w:uiPriority w:val="0"/>
    <w:pPr>
      <w:ind w:firstLine="555"/>
    </w:pPr>
  </w:style>
  <w:style w:type="paragraph" w:styleId="4">
    <w:name w:val="envelope return"/>
    <w:basedOn w:val="1"/>
    <w:unhideWhenUsed/>
    <w:qFormat/>
    <w:uiPriority w:val="0"/>
    <w:pPr>
      <w:snapToGrid w:val="0"/>
    </w:pPr>
    <w:rPr>
      <w:rFonts w:ascii="Arial" w:hAnsi="Arial"/>
    </w:rPr>
  </w:style>
  <w:style w:type="paragraph" w:styleId="5">
    <w:name w:val="Plain Text"/>
    <w:basedOn w:val="1"/>
    <w:qFormat/>
    <w:uiPriority w:val="0"/>
    <w:rPr>
      <w:rFonts w:ascii="宋体" w:hAnsi="Courier New" w:cs="Courier New"/>
      <w:kern w:val="2"/>
      <w:szCs w:val="21"/>
    </w:rPr>
  </w:style>
  <w:style w:type="table" w:styleId="7">
    <w:name w:val="Table Grid"/>
    <w:basedOn w:val="6"/>
    <w:qFormat/>
    <w:uiPriority w:val="0"/>
    <w:rPr>
      <w:lang w:val="en-US" w:eastAsia="zh-CN"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annotation reference"/>
    <w:qFormat/>
    <w:uiPriority w:val="99"/>
    <w:rPr>
      <w:sz w:val="21"/>
      <w:szCs w:val="21"/>
    </w:rPr>
  </w:style>
  <w:style w:type="paragraph" w:customStyle="1" w:styleId="10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customStyle="1" w:styleId="11">
    <w:name w:val="_Style 3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1803</Words>
  <Characters>2035</Characters>
  <Lines>0</Lines>
  <Paragraphs>0</Paragraphs>
  <TotalTime>2</TotalTime>
  <ScaleCrop>false</ScaleCrop>
  <LinksUpToDate>false</LinksUpToDate>
  <CharactersWithSpaces>2049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2022-11-14T06:58:00Z</dcterms:created>
  <dc:creator>Administrator</dc:creator>
  <cp:lastModifiedBy>Administrator</cp:lastModifiedBy>
  <dcterms:modified xsi:type="dcterms:W3CDTF">2022-11-14T07:01:19Z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B88B2B8E8DBB48ECA17C5248A189EFE5</vt:lpwstr>
  </property>
</Properties>
</file>