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numPr>
          <w:numId w:val="0"/>
        </w:numPr>
        <w:spacing w:line="400" w:lineRule="exact"/>
        <w:jc w:val="both"/>
        <w:outlineLvl w:val="0"/>
        <w:rPr>
          <w:rFonts w:hint="eastAsia" w:ascii="宋体" w:hAnsi="宋体" w:eastAsia="宋体" w:cs="宋体"/>
          <w:b/>
          <w:color w:val="000000"/>
          <w:sz w:val="32"/>
          <w:szCs w:val="32"/>
          <w:lang w:val="zh-CN"/>
        </w:rPr>
      </w:pPr>
      <w:bookmarkStart w:id="0" w:name="_Toc2130"/>
      <w:bookmarkStart w:id="1" w:name="_Toc20590"/>
      <w:r>
        <w:rPr>
          <w:rFonts w:hint="eastAsia" w:hAnsi="宋体" w:cs="宋体"/>
          <w:b/>
          <w:color w:val="000000"/>
          <w:sz w:val="32"/>
          <w:szCs w:val="32"/>
          <w:lang w:val="zh-CN"/>
        </w:rPr>
        <w:t>附件：</w:t>
      </w:r>
      <w:bookmarkStart w:id="4" w:name="_GoBack"/>
      <w:bookmarkEnd w:id="4"/>
      <w:r>
        <w:rPr>
          <w:rFonts w:hint="eastAsia" w:ascii="宋体" w:hAnsi="宋体" w:eastAsia="宋体" w:cs="宋体"/>
          <w:b/>
          <w:color w:val="000000"/>
          <w:sz w:val="32"/>
          <w:szCs w:val="32"/>
          <w:lang w:val="zh-CN"/>
        </w:rPr>
        <w:t>采购项目服务需求及技术要求</w:t>
      </w:r>
      <w:bookmarkEnd w:id="0"/>
      <w:bookmarkEnd w:id="1"/>
    </w:p>
    <w:p>
      <w:pPr>
        <w:pStyle w:val="5"/>
        <w:numPr>
          <w:ilvl w:val="0"/>
          <w:numId w:val="0"/>
        </w:numPr>
        <w:spacing w:line="400" w:lineRule="exact"/>
        <w:jc w:val="both"/>
        <w:outlineLvl w:val="0"/>
        <w:rPr>
          <w:rFonts w:hint="eastAsia" w:ascii="宋体" w:hAnsi="宋体" w:eastAsia="宋体" w:cs="宋体"/>
          <w:b/>
          <w:color w:val="000000"/>
          <w:sz w:val="32"/>
          <w:szCs w:val="32"/>
          <w:lang w:val="zh-CN"/>
        </w:rPr>
      </w:pPr>
    </w:p>
    <w:p>
      <w:pPr>
        <w:pStyle w:val="5"/>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为鼓励不同品牌的充分竞争，如某设备的某技术参数或要求属于个别品牌专有，则该技术参数及要求不具有限制性，供应商可对该参数或要求进行适当调整，但这种调整整体上要优于或相当于磋商文件的相关要求，并说明调整理由，且该调整须经磋商小组审核认可。</w:t>
      </w:r>
    </w:p>
    <w:p>
      <w:pPr>
        <w:pStyle w:val="5"/>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1.成交人提供的货物为进口产品的，供货时须向采购人提供所投进口产品的海关报关单等证明材料。</w:t>
      </w:r>
      <w:bookmarkStart w:id="2" w:name="_Toc24273"/>
    </w:p>
    <w:p>
      <w:pPr>
        <w:pStyle w:val="5"/>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2.原装进口的产品，如国内产品满足需求也可参与采购竞争。</w:t>
      </w:r>
    </w:p>
    <w:bookmarkEnd w:id="2"/>
    <w:p>
      <w:pPr>
        <w:pStyle w:val="10"/>
        <w:widowControl w:val="0"/>
        <w:numPr>
          <w:ilvl w:val="0"/>
          <w:numId w:val="1"/>
        </w:numPr>
        <w:autoSpaceDE w:val="0"/>
        <w:autoSpaceDN w:val="0"/>
        <w:adjustRightInd w:val="0"/>
        <w:spacing w:line="500" w:lineRule="exact"/>
        <w:jc w:val="both"/>
        <w:rPr>
          <w:rFonts w:hint="eastAsia" w:ascii="Times New Roman" w:hAnsi="Times New Roman" w:eastAsia="黑体"/>
          <w:sz w:val="28"/>
          <w:szCs w:val="28"/>
          <w:lang w:eastAsia="zh-CN"/>
        </w:rPr>
      </w:pPr>
      <w:bookmarkStart w:id="3" w:name="_Toc285612596"/>
      <w:r>
        <w:rPr>
          <w:rFonts w:ascii="Times New Roman" w:hAnsi="Times New Roman" w:eastAsia="黑体"/>
          <w:sz w:val="28"/>
          <w:szCs w:val="28"/>
          <w:lang w:eastAsia="zh-CN"/>
        </w:rPr>
        <w:t>技术</w:t>
      </w:r>
      <w:r>
        <w:rPr>
          <w:rFonts w:hint="eastAsia" w:ascii="Times New Roman" w:hAnsi="Times New Roman" w:eastAsia="黑体"/>
          <w:sz w:val="28"/>
          <w:szCs w:val="28"/>
          <w:lang w:eastAsia="zh-CN"/>
        </w:rPr>
        <w:t>要求</w:t>
      </w:r>
    </w:p>
    <w:p>
      <w:pPr>
        <w:keepNext w:val="0"/>
        <w:keepLines w:val="0"/>
        <w:widowControl/>
        <w:suppressLineNumbers w:val="0"/>
        <w:jc w:val="both"/>
        <w:textAlignment w:val="center"/>
        <w:rPr>
          <w:rFonts w:hint="default" w:ascii="仿宋" w:hAnsi="仿宋" w:eastAsia="仿宋" w:cs="仿宋"/>
          <w:b/>
          <w:bCs/>
          <w:sz w:val="32"/>
          <w:szCs w:val="32"/>
          <w:lang w:val="en-US" w:eastAsia="zh-CN"/>
        </w:rPr>
      </w:pPr>
      <w:r>
        <w:rPr>
          <w:rFonts w:hint="eastAsia" w:ascii="仿宋" w:hAnsi="仿宋" w:eastAsia="仿宋" w:cs="仿宋"/>
          <w:b/>
          <w:bCs/>
          <w:sz w:val="32"/>
          <w:szCs w:val="32"/>
          <w:lang w:eastAsia="zh-CN"/>
        </w:rPr>
        <w:t>包</w:t>
      </w:r>
      <w:r>
        <w:rPr>
          <w:rFonts w:hint="eastAsia" w:ascii="仿宋" w:hAnsi="仿宋" w:eastAsia="仿宋" w:cs="仿宋"/>
          <w:b/>
          <w:bCs/>
          <w:sz w:val="32"/>
          <w:szCs w:val="32"/>
          <w:lang w:val="en-US" w:eastAsia="zh-CN"/>
        </w:rPr>
        <w:t>一：技术要求</w:t>
      </w:r>
    </w:p>
    <w:tbl>
      <w:tblPr>
        <w:tblStyle w:val="8"/>
        <w:tblW w:w="4920" w:type="pct"/>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7"/>
        <w:gridCol w:w="6039"/>
        <w:gridCol w:w="726"/>
        <w:gridCol w:w="711"/>
        <w:gridCol w:w="12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83" w:type="pct"/>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3114" w:type="pct"/>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技术要求</w:t>
            </w:r>
          </w:p>
        </w:tc>
        <w:tc>
          <w:tcPr>
            <w:tcW w:w="374" w:type="pct"/>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366" w:type="pct"/>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661"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5" w:hRule="atLeast"/>
        </w:trPr>
        <w:tc>
          <w:tcPr>
            <w:tcW w:w="48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sz w:val="24"/>
                <w:szCs w:val="24"/>
              </w:rPr>
            </w:pPr>
            <w:r>
              <w:rPr>
                <w:rFonts w:hint="eastAsia" w:ascii="仿宋" w:hAnsi="仿宋" w:eastAsia="仿宋" w:cs="仿宋"/>
                <w:b/>
                <w:bCs/>
                <w:sz w:val="24"/>
                <w:szCs w:val="24"/>
                <w:lang w:val="en-US" w:eastAsia="zh-CN"/>
              </w:rPr>
              <w:t>CD4</w:t>
            </w:r>
            <w:r>
              <w:rPr>
                <w:rFonts w:hint="eastAsia" w:ascii="仿宋" w:hAnsi="仿宋" w:eastAsia="仿宋" w:cs="仿宋"/>
                <w:b/>
                <w:bCs/>
                <w:sz w:val="24"/>
                <w:szCs w:val="24"/>
              </w:rPr>
              <w:t>试剂</w:t>
            </w:r>
          </w:p>
        </w:tc>
        <w:tc>
          <w:tcPr>
            <w:tcW w:w="3114" w:type="pct"/>
            <w:tcBorders>
              <w:top w:val="single" w:color="auto" w:sz="4" w:space="0"/>
              <w:left w:val="single" w:color="auto" w:sz="4" w:space="0"/>
              <w:bottom w:val="single" w:color="auto" w:sz="4" w:space="0"/>
              <w:right w:val="single" w:color="000000" w:sz="4" w:space="0"/>
            </w:tcBorders>
            <w:noWrap/>
            <w:vAlign w:val="center"/>
          </w:tcPr>
          <w:p>
            <w:pPr>
              <w:rPr>
                <w:rFonts w:ascii="宋体" w:hAnsi="宋体" w:cs="宋体"/>
                <w:color w:val="000000"/>
                <w:kern w:val="0"/>
              </w:rPr>
            </w:pPr>
            <w:r>
              <w:rPr>
                <w:rFonts w:hint="eastAsia" w:ascii="宋体" w:hAnsi="宋体" w:cs="宋体"/>
                <w:color w:val="000000"/>
                <w:kern w:val="0"/>
              </w:rPr>
              <w:t>1.适</w:t>
            </w:r>
            <w:r>
              <w:rPr>
                <w:rFonts w:hint="eastAsia" w:ascii="宋体" w:hAnsi="宋体" w:eastAsia="宋体" w:cs="宋体"/>
                <w:color w:val="000000"/>
                <w:kern w:val="0"/>
              </w:rPr>
              <w:t>用于</w:t>
            </w:r>
            <w:r>
              <w:rPr>
                <w:rFonts w:hint="eastAsia" w:ascii="宋体" w:hAnsi="宋体" w:eastAsia="宋体" w:cs="宋体"/>
                <w:color w:val="000000"/>
                <w:kern w:val="0"/>
                <w:lang w:val="en-US" w:eastAsia="zh-CN"/>
              </w:rPr>
              <w:t>迈瑞E6流式细胞仪</w:t>
            </w:r>
            <w:r>
              <w:rPr>
                <w:rFonts w:hint="eastAsia" w:ascii="仿宋" w:hAnsi="仿宋" w:eastAsia="仿宋" w:cs="仿宋"/>
                <w:b w:val="0"/>
                <w:bCs w:val="0"/>
                <w:sz w:val="22"/>
                <w:szCs w:val="22"/>
                <w:lang w:val="en-US" w:eastAsia="zh-CN"/>
              </w:rPr>
              <w:t xml:space="preserve"> </w:t>
            </w:r>
            <w:r>
              <w:rPr>
                <w:rFonts w:hint="eastAsia" w:ascii="宋体" w:hAnsi="宋体" w:cs="宋体"/>
                <w:color w:val="000000"/>
                <w:kern w:val="0"/>
              </w:rPr>
              <w:t>。</w:t>
            </w:r>
          </w:p>
          <w:p>
            <w:pPr>
              <w:rPr>
                <w:rFonts w:ascii="宋体" w:hAnsi="宋体" w:cs="宋体"/>
                <w:color w:val="000000"/>
                <w:kern w:val="0"/>
              </w:rPr>
            </w:pPr>
            <w:r>
              <w:rPr>
                <w:rFonts w:hint="eastAsia" w:ascii="宋体" w:hAnsi="宋体" w:cs="宋体"/>
                <w:color w:val="000000"/>
                <w:kern w:val="0"/>
              </w:rPr>
              <w:t>★2.CD3/CD4/CD45三色复合抗体。</w:t>
            </w:r>
          </w:p>
          <w:p>
            <w:pPr>
              <w:rPr>
                <w:rFonts w:ascii="宋体" w:hAnsi="宋体" w:cs="宋体"/>
                <w:color w:val="000000"/>
                <w:kern w:val="0"/>
              </w:rPr>
            </w:pPr>
            <w:r>
              <w:rPr>
                <w:rFonts w:hint="eastAsia" w:ascii="宋体" w:hAnsi="宋体" w:cs="宋体"/>
                <w:color w:val="000000"/>
                <w:kern w:val="0"/>
              </w:rPr>
              <w:t>★3.配备相应人份计数管及溶血素，与三色复合抗体为同一品牌。</w:t>
            </w:r>
          </w:p>
          <w:p>
            <w:pPr>
              <w:rPr>
                <w:rFonts w:ascii="宋体" w:hAnsi="宋体" w:cs="宋体"/>
                <w:color w:val="000000"/>
                <w:kern w:val="0"/>
              </w:rPr>
            </w:pPr>
            <w:r>
              <w:rPr>
                <w:rFonts w:hint="eastAsia" w:ascii="宋体" w:hAnsi="宋体" w:cs="宋体"/>
                <w:color w:val="000000"/>
                <w:kern w:val="0"/>
              </w:rPr>
              <w:t>★4.具有SFDA/CFDA或</w:t>
            </w:r>
            <w:r>
              <w:rPr>
                <w:rFonts w:ascii="宋体" w:hAnsi="宋体" w:cs="宋体"/>
                <w:color w:val="000000"/>
                <w:kern w:val="0"/>
              </w:rPr>
              <w:t>NMPA</w:t>
            </w:r>
            <w:r>
              <w:rPr>
                <w:rFonts w:hint="eastAsia" w:ascii="宋体" w:hAnsi="宋体" w:cs="宋体"/>
                <w:color w:val="000000"/>
                <w:kern w:val="0"/>
              </w:rPr>
              <w:t>注册，</w:t>
            </w:r>
            <w:r>
              <w:rPr>
                <w:rFonts w:ascii="宋体" w:hAnsi="宋体" w:cs="宋体"/>
                <w:color w:val="000000"/>
                <w:kern w:val="0"/>
              </w:rPr>
              <w:t>提供</w:t>
            </w:r>
            <w:r>
              <w:rPr>
                <w:rFonts w:hint="eastAsia" w:ascii="宋体" w:hAnsi="宋体" w:cs="宋体"/>
                <w:color w:val="000000"/>
                <w:kern w:val="0"/>
              </w:rPr>
              <w:t>以上</w:t>
            </w:r>
            <w:r>
              <w:rPr>
                <w:rFonts w:ascii="宋体" w:hAnsi="宋体" w:cs="宋体"/>
                <w:color w:val="000000"/>
                <w:kern w:val="0"/>
              </w:rPr>
              <w:t>产品注册证复印件</w:t>
            </w:r>
            <w:r>
              <w:rPr>
                <w:rFonts w:hint="eastAsia" w:ascii="宋体" w:hAnsi="宋体" w:cs="宋体"/>
                <w:color w:val="000000"/>
                <w:kern w:val="0"/>
              </w:rPr>
              <w:t>。</w:t>
            </w:r>
          </w:p>
          <w:p>
            <w:pPr>
              <w:rPr>
                <w:rFonts w:ascii="宋体" w:hAnsi="宋体" w:cs="宋体"/>
                <w:color w:val="000000"/>
                <w:kern w:val="0"/>
              </w:rPr>
            </w:pPr>
            <w:r>
              <w:rPr>
                <w:rFonts w:hint="eastAsia" w:ascii="宋体" w:hAnsi="宋体" w:cs="宋体"/>
                <w:color w:val="000000"/>
                <w:kern w:val="0"/>
              </w:rPr>
              <w:t>5.到货有效期&gt;10个月，绝对计数检测的重复性：CV≤15%。</w:t>
            </w:r>
          </w:p>
          <w:p>
            <w:pPr>
              <w:rPr>
                <w:rFonts w:ascii="宋体" w:hAnsi="宋体" w:cs="宋体"/>
                <w:color w:val="000000"/>
                <w:kern w:val="0"/>
              </w:rPr>
            </w:pPr>
            <w:r>
              <w:rPr>
                <w:rFonts w:hint="eastAsia" w:ascii="宋体" w:hAnsi="宋体" w:cs="宋体"/>
                <w:color w:val="000000"/>
                <w:kern w:val="0"/>
              </w:rPr>
              <w:t>7. 抗体保存温度：2-8℃。</w:t>
            </w:r>
          </w:p>
          <w:p>
            <w:pPr>
              <w:rPr>
                <w:rFonts w:hint="eastAsia"/>
                <w:lang w:val="en-US" w:eastAsia="zh-CN"/>
              </w:rPr>
            </w:pPr>
            <w:r>
              <w:rPr>
                <w:rFonts w:hint="eastAsia" w:ascii="宋体" w:hAnsi="宋体" w:cs="宋体"/>
                <w:color w:val="000000"/>
                <w:kern w:val="0"/>
              </w:rPr>
              <w:t>8.为采购人现有</w:t>
            </w:r>
            <w:r>
              <w:rPr>
                <w:rFonts w:hint="eastAsia" w:ascii="宋体" w:hAnsi="宋体" w:eastAsia="宋体" w:cs="宋体"/>
                <w:color w:val="000000"/>
                <w:kern w:val="0"/>
                <w:lang w:val="en-US" w:eastAsia="zh-CN"/>
              </w:rPr>
              <w:t>迈瑞E6流式细胞仪</w:t>
            </w:r>
            <w:r>
              <w:rPr>
                <w:rFonts w:hint="eastAsia" w:ascii="宋体" w:hAnsi="宋体" w:cs="宋体"/>
                <w:color w:val="000000"/>
                <w:kern w:val="0"/>
              </w:rPr>
              <w:t>等仪器提供每季度至少一次的免费维护保养。</w:t>
            </w:r>
          </w:p>
        </w:tc>
        <w:tc>
          <w:tcPr>
            <w:tcW w:w="374"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Times New Roman"/>
                <w:sz w:val="22"/>
                <w:szCs w:val="22"/>
              </w:rPr>
            </w:pPr>
            <w:r>
              <w:rPr>
                <w:rFonts w:hint="eastAsia" w:ascii="仿宋" w:hAnsi="仿宋" w:eastAsia="仿宋" w:cs="Times New Roman"/>
                <w:sz w:val="22"/>
                <w:szCs w:val="22"/>
                <w:lang w:val="en-US" w:eastAsia="zh-CN"/>
              </w:rPr>
              <w:t>人份</w:t>
            </w:r>
          </w:p>
        </w:tc>
        <w:tc>
          <w:tcPr>
            <w:tcW w:w="366" w:type="pct"/>
            <w:tcBorders>
              <w:top w:val="single" w:color="auto" w:sz="4" w:space="0"/>
              <w:left w:val="single" w:color="000000"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仿宋" w:hAnsi="仿宋" w:eastAsia="仿宋" w:cs="Times New Roman"/>
                <w:sz w:val="22"/>
                <w:szCs w:val="22"/>
                <w:lang w:val="en-US"/>
              </w:rPr>
            </w:pPr>
            <w:r>
              <w:rPr>
                <w:rFonts w:hint="eastAsia" w:ascii="仿宋" w:hAnsi="仿宋" w:eastAsia="仿宋" w:cs="Times New Roman"/>
                <w:sz w:val="22"/>
                <w:szCs w:val="22"/>
                <w:lang w:val="en-US" w:eastAsia="zh-CN"/>
              </w:rPr>
              <w:t>400</w:t>
            </w:r>
          </w:p>
        </w:tc>
        <w:tc>
          <w:tcPr>
            <w:tcW w:w="661"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val="0"/>
                <w:b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6" w:hRule="atLeast"/>
        </w:trPr>
        <w:tc>
          <w:tcPr>
            <w:tcW w:w="48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说  明</w:t>
            </w:r>
          </w:p>
        </w:tc>
        <w:tc>
          <w:tcPr>
            <w:tcW w:w="4516" w:type="pct"/>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1.报价方须对所报价包内所有产品和数量进行报价，否则视为无效报价。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2.供应商的响应文件必须标明所投货物的品牌与参数，保证原厂正品供货，提供相关资料等。</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3.供货及时、充足，所有货物须送货上门，入库。货物必须按照该货物适宜的运输条件要求进行运输，要有明确的温度监控设施，监控结果要可视、可记录，所有相关的运输费用由供方负责承担。</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仿宋" w:hAnsi="仿宋" w:eastAsia="仿宋" w:cs="仿宋"/>
                <w:b w:val="0"/>
                <w:bCs w:val="0"/>
                <w:sz w:val="24"/>
                <w:szCs w:val="24"/>
                <w:lang w:val="en-US" w:eastAsia="zh-CN"/>
              </w:rPr>
            </w:pPr>
            <w:r>
              <w:rPr>
                <w:rFonts w:hint="eastAsia" w:ascii="仿宋" w:hAnsi="仿宋" w:eastAsia="仿宋" w:cs="Times New Roman"/>
                <w:b/>
                <w:bCs/>
                <w:sz w:val="22"/>
                <w:szCs w:val="22"/>
                <w:lang w:val="en-US" w:eastAsia="zh-CN"/>
              </w:rPr>
              <w:t>4标★项需提供技术证明文件之一（第三方检测报告、产品技术白皮书、产品使用说明书及产品彩页）予以证明所提供的试剂符合以上技术要求。</w:t>
            </w:r>
          </w:p>
        </w:tc>
      </w:tr>
    </w:tbl>
    <w:p>
      <w:pPr>
        <w:keepNext w:val="0"/>
        <w:keepLines w:val="0"/>
        <w:widowControl/>
        <w:suppressLineNumbers w:val="0"/>
        <w:jc w:val="both"/>
        <w:textAlignment w:val="center"/>
        <w:rPr>
          <w:rFonts w:hint="eastAsia" w:ascii="仿宋" w:hAnsi="仿宋" w:eastAsia="仿宋" w:cs="仿宋"/>
          <w:b/>
          <w:bCs/>
          <w:sz w:val="32"/>
          <w:szCs w:val="32"/>
          <w:lang w:eastAsia="zh-CN"/>
        </w:rPr>
      </w:pPr>
    </w:p>
    <w:p>
      <w:pPr>
        <w:pStyle w:val="7"/>
        <w:rPr>
          <w:rFonts w:hint="eastAsia" w:ascii="仿宋" w:hAnsi="仿宋" w:eastAsia="仿宋" w:cs="仿宋"/>
          <w:b/>
          <w:bCs/>
          <w:sz w:val="32"/>
          <w:szCs w:val="32"/>
          <w:lang w:eastAsia="zh-CN"/>
        </w:rPr>
      </w:pPr>
    </w:p>
    <w:p>
      <w:pPr>
        <w:pStyle w:val="6"/>
        <w:rPr>
          <w:rFonts w:hint="eastAsia" w:ascii="仿宋" w:hAnsi="仿宋" w:eastAsia="仿宋" w:cs="仿宋"/>
          <w:b/>
          <w:bCs/>
          <w:sz w:val="32"/>
          <w:szCs w:val="32"/>
          <w:lang w:eastAsia="zh-CN"/>
        </w:rPr>
      </w:pPr>
    </w:p>
    <w:p>
      <w:pPr>
        <w:rPr>
          <w:rFonts w:hint="eastAsia" w:ascii="仿宋" w:hAnsi="仿宋" w:eastAsia="仿宋" w:cs="仿宋"/>
          <w:b/>
          <w:bCs/>
          <w:sz w:val="32"/>
          <w:szCs w:val="32"/>
          <w:lang w:eastAsia="zh-CN"/>
        </w:rPr>
      </w:pPr>
    </w:p>
    <w:p>
      <w:pPr>
        <w:pStyle w:val="7"/>
        <w:rPr>
          <w:rFonts w:hint="eastAsia"/>
          <w:lang w:eastAsia="zh-CN"/>
        </w:rPr>
      </w:pPr>
    </w:p>
    <w:p>
      <w:pPr>
        <w:keepNext w:val="0"/>
        <w:keepLines w:val="0"/>
        <w:widowControl/>
        <w:suppressLineNumbers w:val="0"/>
        <w:jc w:val="both"/>
        <w:textAlignment w:val="center"/>
        <w:rPr>
          <w:rFonts w:hint="eastAsia" w:ascii="Times New Roman" w:hAnsi="Times New Roman" w:eastAsia="黑体"/>
          <w:sz w:val="28"/>
          <w:szCs w:val="28"/>
          <w:lang w:eastAsia="zh-CN"/>
        </w:rPr>
      </w:pPr>
      <w:r>
        <w:rPr>
          <w:rFonts w:hint="eastAsia" w:ascii="仿宋" w:hAnsi="仿宋" w:eastAsia="仿宋" w:cs="仿宋"/>
          <w:b/>
          <w:bCs/>
          <w:sz w:val="32"/>
          <w:szCs w:val="32"/>
          <w:lang w:eastAsia="zh-CN"/>
        </w:rPr>
        <w:t>包</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lang w:eastAsia="zh-CN"/>
        </w:rPr>
        <w:t>技术要求</w:t>
      </w:r>
    </w:p>
    <w:tbl>
      <w:tblPr>
        <w:tblStyle w:val="8"/>
        <w:tblW w:w="4995" w:type="pct"/>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0" w:type="dxa"/>
          <w:bottom w:w="0" w:type="dxa"/>
          <w:right w:w="0" w:type="dxa"/>
        </w:tblCellMar>
      </w:tblPr>
      <w:tblGrid>
        <w:gridCol w:w="2577"/>
        <w:gridCol w:w="3277"/>
        <w:gridCol w:w="1088"/>
        <w:gridCol w:w="1358"/>
        <w:gridCol w:w="1358"/>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74" w:hRule="atLeast"/>
        </w:trPr>
        <w:tc>
          <w:tcPr>
            <w:tcW w:w="1334" w:type="pct"/>
            <w:tcBorders>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lang w:eastAsia="zh-CN"/>
              </w:rPr>
              <w:t>名称</w:t>
            </w:r>
            <w:r>
              <w:rPr>
                <w:rFonts w:hint="eastAsia" w:ascii="宋体" w:hAnsi="宋体" w:eastAsia="宋体" w:cs="宋体"/>
                <w:b/>
                <w:color w:val="000000"/>
                <w:kern w:val="0"/>
                <w:szCs w:val="21"/>
              </w:rPr>
              <w:t>　</w:t>
            </w:r>
          </w:p>
        </w:tc>
        <w:tc>
          <w:tcPr>
            <w:tcW w:w="1696" w:type="pct"/>
            <w:tcBorders>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kern w:val="0"/>
                <w:szCs w:val="21"/>
                <w:lang w:eastAsia="zh-CN"/>
              </w:rPr>
            </w:pPr>
            <w:r>
              <w:rPr>
                <w:rFonts w:hint="eastAsia" w:ascii="宋体" w:hAnsi="宋体" w:eastAsia="宋体" w:cs="宋体"/>
                <w:b/>
                <w:color w:val="000000"/>
                <w:kern w:val="0"/>
                <w:szCs w:val="21"/>
                <w:lang w:eastAsia="zh-CN"/>
              </w:rPr>
              <w:t>规格及技术要求</w:t>
            </w:r>
          </w:p>
        </w:tc>
        <w:tc>
          <w:tcPr>
            <w:tcW w:w="563" w:type="pct"/>
            <w:tcBorders>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单位</w:t>
            </w:r>
          </w:p>
        </w:tc>
        <w:tc>
          <w:tcPr>
            <w:tcW w:w="703" w:type="pct"/>
            <w:tcBorders>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数量</w:t>
            </w:r>
          </w:p>
        </w:tc>
        <w:tc>
          <w:tcPr>
            <w:tcW w:w="702" w:type="pct"/>
            <w:tcBorders>
              <w:left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kern w:val="0"/>
                <w:szCs w:val="21"/>
                <w:lang w:eastAsia="zh-CN"/>
              </w:rPr>
            </w:pPr>
            <w:r>
              <w:rPr>
                <w:rFonts w:hint="eastAsia" w:ascii="宋体" w:hAnsi="宋体" w:eastAsia="宋体" w:cs="宋体"/>
                <w:b/>
                <w:color w:val="000000"/>
                <w:kern w:val="0"/>
                <w:szCs w:val="21"/>
                <w:lang w:eastAsia="zh-CN"/>
              </w:rPr>
              <w:t>备注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14" w:hRule="atLeast"/>
        </w:trPr>
        <w:tc>
          <w:tcPr>
            <w:tcW w:w="1334" w:type="pct"/>
            <w:tcBorders>
              <w:top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安全盖负压抗凝采血管</w:t>
            </w:r>
          </w:p>
        </w:tc>
        <w:tc>
          <w:tcPr>
            <w:tcW w:w="169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320" w:lineRule="exact"/>
              <w:jc w:val="left"/>
              <w:textAlignment w:val="auto"/>
              <w:rPr>
                <w:rFonts w:hint="eastAsia" w:ascii="仿宋" w:hAnsi="仿宋" w:eastAsia="仿宋" w:cs="Times New Roman"/>
                <w:sz w:val="22"/>
                <w:szCs w:val="22"/>
                <w:lang w:eastAsia="zh-CN"/>
              </w:rPr>
            </w:pPr>
            <w:r>
              <w:rPr>
                <w:rFonts w:hint="eastAsia" w:ascii="仿宋" w:hAnsi="仿宋" w:eastAsia="仿宋" w:cs="Times New Roman"/>
                <w:sz w:val="22"/>
                <w:szCs w:val="22"/>
                <w:lang w:eastAsia="zh-CN"/>
              </w:rPr>
              <w:t>规格：</w:t>
            </w:r>
            <w:r>
              <w:rPr>
                <w:rFonts w:hint="eastAsia" w:ascii="仿宋" w:hAnsi="仿宋" w:eastAsia="仿宋" w:cs="Times New Roman"/>
                <w:sz w:val="22"/>
                <w:szCs w:val="22"/>
              </w:rPr>
              <w:t>EDTA-K3</w:t>
            </w:r>
            <w:r>
              <w:rPr>
                <w:rFonts w:hint="eastAsia" w:ascii="仿宋" w:hAnsi="仿宋" w:eastAsia="仿宋" w:cs="Times New Roman"/>
                <w:sz w:val="22"/>
                <w:szCs w:val="2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jc w:val="left"/>
              <w:textAlignment w:val="auto"/>
              <w:rPr>
                <w:rFonts w:hint="eastAsia" w:ascii="仿宋" w:hAnsi="仿宋" w:eastAsia="仿宋" w:cs="Times New Roman"/>
                <w:sz w:val="22"/>
                <w:szCs w:val="22"/>
              </w:rPr>
            </w:pPr>
            <w:r>
              <w:rPr>
                <w:rFonts w:hint="eastAsia" w:ascii="仿宋" w:hAnsi="仿宋" w:eastAsia="仿宋" w:cs="Times New Roman"/>
                <w:sz w:val="22"/>
                <w:szCs w:val="22"/>
              </w:rPr>
              <w:t>进口，安全盖</w:t>
            </w:r>
          </w:p>
        </w:tc>
        <w:tc>
          <w:tcPr>
            <w:tcW w:w="56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sz w:val="22"/>
                <w:szCs w:val="22"/>
                <w:lang w:eastAsia="zh-CN"/>
              </w:rPr>
            </w:pPr>
            <w:r>
              <w:rPr>
                <w:rFonts w:hint="eastAsia" w:ascii="仿宋" w:hAnsi="仿宋" w:eastAsia="仿宋" w:cs="Times New Roman"/>
                <w:sz w:val="22"/>
                <w:szCs w:val="22"/>
                <w:lang w:eastAsia="zh-CN"/>
              </w:rPr>
              <w:t>支</w:t>
            </w:r>
          </w:p>
        </w:tc>
        <w:tc>
          <w:tcPr>
            <w:tcW w:w="70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sz w:val="22"/>
                <w:szCs w:val="22"/>
              </w:rPr>
            </w:pPr>
            <w:r>
              <w:rPr>
                <w:rFonts w:hint="eastAsia" w:ascii="宋体" w:hAnsi="宋体" w:eastAsia="宋体" w:cs="宋体"/>
                <w:i w:val="0"/>
                <w:iCs w:val="0"/>
                <w:color w:val="000000"/>
                <w:kern w:val="0"/>
                <w:sz w:val="24"/>
                <w:szCs w:val="24"/>
                <w:u w:val="none"/>
                <w:lang w:val="en-US" w:eastAsia="zh-CN" w:bidi="ar"/>
              </w:rPr>
              <w:t>6000</w:t>
            </w:r>
          </w:p>
        </w:tc>
        <w:tc>
          <w:tcPr>
            <w:tcW w:w="702" w:type="pct"/>
            <w:tcBorders>
              <w:top w:val="single" w:color="auto" w:sz="4" w:space="0"/>
              <w:left w:val="single" w:color="auto" w:sz="4" w:space="0"/>
              <w:bottom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84" w:hRule="atLeast"/>
        </w:trPr>
        <w:tc>
          <w:tcPr>
            <w:tcW w:w="1334" w:type="pct"/>
            <w:tcBorders>
              <w:top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血清冻存离心管</w:t>
            </w:r>
          </w:p>
        </w:tc>
        <w:tc>
          <w:tcPr>
            <w:tcW w:w="169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20" w:lineRule="exact"/>
              <w:jc w:val="left"/>
              <w:textAlignment w:val="auto"/>
              <w:rPr>
                <w:rFonts w:hint="eastAsia" w:ascii="仿宋" w:hAnsi="仿宋" w:eastAsia="仿宋" w:cs="Times New Roman"/>
                <w:sz w:val="22"/>
                <w:szCs w:val="22"/>
              </w:rPr>
            </w:pPr>
            <w:r>
              <w:rPr>
                <w:rFonts w:hint="eastAsia" w:ascii="仿宋" w:hAnsi="仿宋" w:eastAsia="仿宋" w:cs="Times New Roman"/>
                <w:sz w:val="22"/>
                <w:szCs w:val="22"/>
                <w:lang w:val="en-US" w:eastAsia="zh-CN"/>
              </w:rPr>
              <w:t>规格：</w:t>
            </w:r>
            <w:r>
              <w:rPr>
                <w:rFonts w:hint="eastAsia" w:ascii="仿宋" w:hAnsi="仿宋" w:eastAsia="仿宋" w:cs="Times New Roman"/>
                <w:sz w:val="22"/>
                <w:szCs w:val="22"/>
              </w:rPr>
              <w:t>2ml</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jc w:val="left"/>
              <w:textAlignment w:val="auto"/>
              <w:rPr>
                <w:rFonts w:hint="eastAsia" w:ascii="仿宋" w:hAnsi="仿宋" w:eastAsia="仿宋" w:cs="Times New Roman"/>
                <w:sz w:val="22"/>
                <w:szCs w:val="22"/>
              </w:rPr>
            </w:pPr>
            <w:r>
              <w:rPr>
                <w:rFonts w:hint="eastAsia" w:ascii="仿宋" w:hAnsi="仿宋" w:eastAsia="仿宋" w:cs="Times New Roman"/>
                <w:sz w:val="22"/>
                <w:szCs w:val="22"/>
              </w:rPr>
              <w:t>进口，无菌无RNA酶</w:t>
            </w:r>
          </w:p>
        </w:tc>
        <w:tc>
          <w:tcPr>
            <w:tcW w:w="56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sz w:val="22"/>
                <w:szCs w:val="22"/>
              </w:rPr>
            </w:pPr>
            <w:r>
              <w:rPr>
                <w:rFonts w:hint="eastAsia" w:ascii="宋体" w:hAnsi="宋体" w:eastAsia="宋体" w:cs="宋体"/>
                <w:i w:val="0"/>
                <w:iCs w:val="0"/>
                <w:color w:val="000000"/>
                <w:kern w:val="0"/>
                <w:sz w:val="24"/>
                <w:szCs w:val="24"/>
                <w:u w:val="none"/>
                <w:lang w:val="en-US" w:eastAsia="zh-CN" w:bidi="ar"/>
              </w:rPr>
              <w:t>只</w:t>
            </w:r>
          </w:p>
        </w:tc>
        <w:tc>
          <w:tcPr>
            <w:tcW w:w="70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sz w:val="22"/>
                <w:szCs w:val="22"/>
              </w:rPr>
            </w:pPr>
            <w:r>
              <w:rPr>
                <w:rFonts w:hint="eastAsia" w:ascii="宋体" w:hAnsi="宋体" w:eastAsia="宋体" w:cs="宋体"/>
                <w:i w:val="0"/>
                <w:iCs w:val="0"/>
                <w:color w:val="000000"/>
                <w:kern w:val="0"/>
                <w:sz w:val="24"/>
                <w:szCs w:val="24"/>
                <w:u w:val="none"/>
                <w:lang w:val="en-US" w:eastAsia="zh-CN" w:bidi="ar"/>
              </w:rPr>
              <w:t>10000</w:t>
            </w:r>
          </w:p>
        </w:tc>
        <w:tc>
          <w:tcPr>
            <w:tcW w:w="702" w:type="pct"/>
            <w:tcBorders>
              <w:top w:val="single" w:color="auto" w:sz="4" w:space="0"/>
              <w:left w:val="single" w:color="auto" w:sz="4" w:space="0"/>
              <w:bottom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315" w:hRule="atLeast"/>
        </w:trPr>
        <w:tc>
          <w:tcPr>
            <w:tcW w:w="1334" w:type="pct"/>
            <w:tcBorders>
              <w:top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Cs w:val="21"/>
                <w:lang w:eastAsia="zh-CN"/>
              </w:rPr>
            </w:pPr>
            <w:r>
              <w:rPr>
                <w:rFonts w:hint="eastAsia" w:ascii="仿宋" w:hAnsi="仿宋" w:eastAsia="仿宋" w:cs="仿宋"/>
                <w:b/>
                <w:bCs/>
                <w:sz w:val="24"/>
                <w:szCs w:val="24"/>
                <w:lang w:val="en-US" w:eastAsia="zh-CN"/>
              </w:rPr>
              <w:t>说   明</w:t>
            </w:r>
          </w:p>
        </w:tc>
        <w:tc>
          <w:tcPr>
            <w:tcW w:w="3665" w:type="pct"/>
            <w:gridSpan w:val="4"/>
            <w:tcBorders>
              <w:top w:val="single" w:color="auto" w:sz="4" w:space="0"/>
              <w:lef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1.报价方须对所报价包内所有产品和数量进行报价，否则视为无效报价。</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2.供应商的响应文件必须标明所投货物的品牌与参数，保证原厂正品供货，提供相关资料等。</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3.供货及时、充足，所有货物须送货上门，入库。货物必须按照该货物适宜的运输条件要求进行运输，要有明确的温度监控设施，监控结果要可视、可记录，所有相关的运输费用由供方负责承担。</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b/>
                <w:bCs/>
                <w:sz w:val="22"/>
                <w:szCs w:val="22"/>
                <w:lang w:val="en-US" w:eastAsia="zh-CN"/>
              </w:rPr>
              <w:t>4需提供技术证明文件之一（第三方检测报告、产品技术白皮书、产品使用说明书及产品彩页）予以证明所提供的试剂符合以上技术要求。</w:t>
            </w:r>
          </w:p>
        </w:tc>
      </w:tr>
      <w:bookmarkEnd w:id="3"/>
    </w:tbl>
    <w:p>
      <w:pPr>
        <w:pStyle w:val="10"/>
        <w:widowControl w:val="0"/>
        <w:numPr>
          <w:ilvl w:val="0"/>
          <w:numId w:val="4"/>
        </w:numPr>
        <w:autoSpaceDE w:val="0"/>
        <w:autoSpaceDN w:val="0"/>
        <w:adjustRightInd w:val="0"/>
        <w:spacing w:line="500" w:lineRule="exact"/>
        <w:jc w:val="both"/>
        <w:rPr>
          <w:rFonts w:hint="eastAsia" w:ascii="Times New Roman" w:hAnsi="Times New Roman" w:eastAsia="黑体"/>
          <w:sz w:val="24"/>
          <w:szCs w:val="24"/>
          <w:lang w:val="zh-CN" w:eastAsia="zh-CN"/>
        </w:rPr>
      </w:pPr>
      <w:r>
        <w:rPr>
          <w:rFonts w:hint="eastAsia" w:ascii="Times New Roman" w:hAnsi="Times New Roman" w:eastAsia="黑体"/>
          <w:sz w:val="24"/>
          <w:szCs w:val="24"/>
          <w:lang w:val="zh-CN" w:eastAsia="zh-CN"/>
        </w:rPr>
        <w:t>商务要求</w:t>
      </w:r>
    </w:p>
    <w:p>
      <w:pPr>
        <w:spacing w:line="400" w:lineRule="exact"/>
        <w:ind w:firstLine="482" w:firstLineChars="200"/>
        <w:rPr>
          <w:rFonts w:hint="eastAsia" w:ascii="仿宋" w:hAnsi="仿宋" w:eastAsia="仿宋" w:cs="仿宋"/>
        </w:rPr>
      </w:pPr>
      <w:r>
        <w:rPr>
          <w:rFonts w:hint="eastAsia" w:ascii="仿宋" w:hAnsi="仿宋" w:eastAsia="仿宋" w:cs="仿宋"/>
          <w:b/>
          <w:bCs/>
        </w:rPr>
        <w:t>（一）报价要求：</w:t>
      </w:r>
      <w:r>
        <w:rPr>
          <w:rFonts w:hint="eastAsia" w:ascii="仿宋" w:hAnsi="仿宋" w:eastAsia="仿宋" w:cs="仿宋"/>
        </w:rPr>
        <w:t>供应商的报价应包括：人员费用、运输费用、设备费、管理费及税金等为完成磋商文件规定全部内容所需的一切应有费用。</w:t>
      </w:r>
    </w:p>
    <w:p>
      <w:pPr>
        <w:spacing w:line="400" w:lineRule="exact"/>
        <w:ind w:firstLine="482" w:firstLineChars="200"/>
        <w:rPr>
          <w:rFonts w:hint="eastAsia" w:ascii="仿宋" w:hAnsi="仿宋" w:eastAsia="仿宋" w:cs="仿宋"/>
          <w:snapToGrid w:val="0"/>
          <w:lang w:val="zh-CN"/>
        </w:rPr>
      </w:pPr>
      <w:r>
        <w:rPr>
          <w:rFonts w:hint="eastAsia" w:ascii="仿宋" w:hAnsi="仿宋" w:eastAsia="仿宋" w:cs="仿宋"/>
          <w:b/>
          <w:bCs/>
          <w:snapToGrid w:val="0"/>
        </w:rPr>
        <w:t>（二）交货地点：采购人指定地点</w:t>
      </w:r>
    </w:p>
    <w:p>
      <w:pPr>
        <w:spacing w:line="400" w:lineRule="exact"/>
        <w:ind w:firstLine="480" w:firstLineChars="200"/>
        <w:rPr>
          <w:rFonts w:hint="eastAsia" w:ascii="仿宋" w:hAnsi="仿宋" w:eastAsia="仿宋" w:cs="仿宋"/>
        </w:rPr>
      </w:pPr>
      <w:r>
        <w:rPr>
          <w:rFonts w:hint="eastAsia" w:ascii="仿宋" w:hAnsi="仿宋" w:eastAsia="仿宋" w:cs="仿宋"/>
        </w:rPr>
        <w:t>（</w:t>
      </w:r>
      <w:r>
        <w:rPr>
          <w:rFonts w:hint="eastAsia" w:ascii="仿宋" w:hAnsi="仿宋" w:eastAsia="仿宋" w:cs="仿宋"/>
          <w:b/>
          <w:bCs/>
          <w:snapToGrid w:val="0"/>
        </w:rPr>
        <w:t>三）人员培训要求（如有）</w:t>
      </w:r>
    </w:p>
    <w:p>
      <w:pPr>
        <w:spacing w:line="400" w:lineRule="exact"/>
        <w:ind w:firstLine="480" w:firstLineChars="200"/>
        <w:rPr>
          <w:rFonts w:hint="eastAsia" w:ascii="仿宋" w:hAnsi="仿宋" w:eastAsia="仿宋" w:cs="仿宋"/>
        </w:rPr>
      </w:pPr>
      <w:r>
        <w:rPr>
          <w:rFonts w:hint="eastAsia" w:ascii="仿宋" w:hAnsi="仿宋" w:eastAsia="仿宋" w:cs="仿宋"/>
        </w:rPr>
        <w:t>货物安装、调试、验收合格后，中标人应对招标人的相关人员进行免费现场培训。</w:t>
      </w:r>
    </w:p>
    <w:p>
      <w:pPr>
        <w:numPr>
          <w:ilvl w:val="0"/>
          <w:numId w:val="5"/>
        </w:numPr>
        <w:spacing w:line="400" w:lineRule="exact"/>
        <w:ind w:firstLine="482" w:firstLineChars="200"/>
        <w:rPr>
          <w:rFonts w:hint="eastAsia" w:ascii="仿宋" w:hAnsi="仿宋" w:eastAsia="仿宋" w:cs="仿宋"/>
          <w:b/>
          <w:bCs/>
          <w:snapToGrid w:val="0"/>
        </w:rPr>
      </w:pPr>
      <w:r>
        <w:rPr>
          <w:rFonts w:hint="eastAsia" w:ascii="仿宋" w:hAnsi="仿宋" w:eastAsia="仿宋" w:cs="仿宋"/>
          <w:b/>
          <w:bCs/>
          <w:snapToGrid w:val="0"/>
        </w:rPr>
        <w:t>售后服务</w:t>
      </w:r>
    </w:p>
    <w:p>
      <w:pPr>
        <w:spacing w:line="400" w:lineRule="exact"/>
        <w:ind w:firstLine="482" w:firstLineChars="200"/>
        <w:rPr>
          <w:rFonts w:hint="eastAsia" w:ascii="仿宋" w:hAnsi="仿宋" w:eastAsia="仿宋" w:cs="仿宋"/>
        </w:rPr>
      </w:pPr>
      <w:r>
        <w:rPr>
          <w:rFonts w:hint="eastAsia" w:ascii="仿宋" w:hAnsi="仿宋" w:eastAsia="仿宋" w:cs="仿宋"/>
          <w:b/>
          <w:bCs/>
        </w:rPr>
        <w:t>1.保修及售后服务：</w:t>
      </w:r>
      <w:r>
        <w:rPr>
          <w:rFonts w:hint="eastAsia" w:ascii="仿宋" w:hAnsi="仿宋" w:eastAsia="仿宋" w:cs="仿宋"/>
        </w:rPr>
        <w:t>依据商品的保修条款及售后服务条款，提供原厂质保，质保期按照国家规定，且不低于所供品牌向用户承诺的质保期限。招标文件另有约定的从其约定。质保期从货物验收合格后算起。</w:t>
      </w:r>
    </w:p>
    <w:p>
      <w:pPr>
        <w:spacing w:line="400" w:lineRule="exact"/>
        <w:ind w:firstLine="482" w:firstLineChars="200"/>
        <w:rPr>
          <w:rFonts w:hint="eastAsia" w:ascii="仿宋" w:hAnsi="仿宋" w:eastAsia="仿宋" w:cs="仿宋"/>
          <w:b/>
          <w:bCs/>
        </w:rPr>
      </w:pPr>
      <w:r>
        <w:rPr>
          <w:rFonts w:hint="eastAsia" w:ascii="仿宋" w:hAnsi="仿宋" w:eastAsia="仿宋" w:cs="仿宋"/>
          <w:b/>
          <w:bCs/>
        </w:rPr>
        <w:t>2.供货要求：</w:t>
      </w:r>
    </w:p>
    <w:p>
      <w:pPr>
        <w:spacing w:line="400" w:lineRule="exact"/>
        <w:ind w:firstLine="480" w:firstLineChars="200"/>
        <w:rPr>
          <w:rFonts w:hint="default" w:ascii="仿宋" w:hAnsi="仿宋" w:eastAsia="仿宋" w:cs="仿宋"/>
          <w:lang w:val="en-US" w:eastAsia="zh-CN"/>
        </w:rPr>
      </w:pPr>
      <w:r>
        <w:rPr>
          <w:rFonts w:hint="eastAsia" w:ascii="仿宋" w:hAnsi="仿宋" w:eastAsia="仿宋" w:cs="仿宋"/>
          <w:lang w:eastAsia="zh-CN"/>
        </w:rPr>
        <w:t>包</w:t>
      </w:r>
      <w:r>
        <w:rPr>
          <w:rFonts w:hint="eastAsia" w:ascii="仿宋" w:hAnsi="仿宋" w:eastAsia="仿宋" w:cs="仿宋"/>
          <w:lang w:val="en-US" w:eastAsia="zh-CN"/>
        </w:rPr>
        <w:t>1：</w:t>
      </w:r>
      <w:r>
        <w:rPr>
          <w:rFonts w:hint="eastAsia" w:ascii="仿宋" w:hAnsi="仿宋" w:eastAsia="仿宋" w:cs="仿宋"/>
        </w:rPr>
        <w:t>供应商成交以后</w:t>
      </w:r>
      <w:r>
        <w:rPr>
          <w:rFonts w:hint="eastAsia" w:ascii="仿宋" w:hAnsi="仿宋" w:eastAsia="仿宋" w:cs="仿宋"/>
          <w:lang w:eastAsia="zh-CN"/>
        </w:rPr>
        <w:t>，</w:t>
      </w:r>
      <w:r>
        <w:rPr>
          <w:rFonts w:hint="eastAsia" w:ascii="仿宋" w:hAnsi="仿宋" w:eastAsia="仿宋" w:cs="仿宋"/>
          <w:lang w:val="en-US" w:eastAsia="zh-CN"/>
        </w:rPr>
        <w:t>合同签订之日起</w:t>
      </w:r>
      <w:r>
        <w:rPr>
          <w:rFonts w:hint="eastAsia" w:ascii="仿宋" w:hAnsi="仿宋" w:eastAsia="仿宋" w:cs="仿宋"/>
          <w:lang w:eastAsia="zh-CN"/>
        </w:rPr>
        <w:t>根据采购人需求，按批配送，</w:t>
      </w:r>
      <w:r>
        <w:rPr>
          <w:rFonts w:hint="eastAsia" w:ascii="仿宋" w:hAnsi="仿宋" w:eastAsia="仿宋" w:cs="仿宋"/>
        </w:rPr>
        <w:t>否则，采购人有权解除合同，由此造成的全部损失，由成交供应商全部承担。</w:t>
      </w:r>
    </w:p>
    <w:p>
      <w:pPr>
        <w:spacing w:line="400" w:lineRule="exact"/>
        <w:ind w:firstLine="482" w:firstLineChars="200"/>
        <w:rPr>
          <w:rFonts w:ascii="仿宋" w:hAnsi="仿宋" w:eastAsia="仿宋" w:cs="仿宋"/>
          <w:snapToGrid w:val="0"/>
          <w:color w:val="FF0000"/>
        </w:rPr>
      </w:pPr>
      <w:r>
        <w:rPr>
          <w:rFonts w:hint="eastAsia" w:ascii="仿宋" w:hAnsi="仿宋" w:eastAsia="仿宋" w:cs="仿宋"/>
          <w:b/>
          <w:bCs/>
          <w:lang w:eastAsia="zh-CN"/>
        </w:rPr>
        <w:t>包</w:t>
      </w:r>
      <w:r>
        <w:rPr>
          <w:rFonts w:hint="eastAsia" w:ascii="仿宋" w:hAnsi="仿宋" w:eastAsia="仿宋" w:cs="仿宋"/>
          <w:b/>
          <w:bCs/>
          <w:lang w:val="en-US" w:eastAsia="zh-CN"/>
        </w:rPr>
        <w:t>2：</w:t>
      </w:r>
      <w:r>
        <w:rPr>
          <w:rFonts w:hint="eastAsia" w:ascii="仿宋" w:hAnsi="仿宋" w:eastAsia="仿宋" w:cs="仿宋"/>
        </w:rPr>
        <w:t>供应商成交以后，合同签订之日起</w:t>
      </w:r>
      <w:r>
        <w:rPr>
          <w:rFonts w:hint="eastAsia" w:ascii="仿宋" w:hAnsi="仿宋" w:eastAsia="仿宋" w:cs="仿宋"/>
          <w:lang w:val="en-US" w:eastAsia="zh-CN"/>
        </w:rPr>
        <w:t>10个日历天内完成</w:t>
      </w:r>
      <w:r>
        <w:rPr>
          <w:rFonts w:hint="eastAsia" w:ascii="仿宋" w:hAnsi="仿宋" w:eastAsia="仿宋" w:cs="仿宋"/>
        </w:rPr>
        <w:t>，否则，采购人有权解除合同，由此造成的全部损失，由成交供应商全部承担。</w:t>
      </w:r>
    </w:p>
    <w:p>
      <w:pPr>
        <w:spacing w:line="400" w:lineRule="exact"/>
        <w:ind w:firstLine="480" w:firstLineChars="200"/>
        <w:rPr>
          <w:rFonts w:hint="eastAsia" w:ascii="仿宋" w:hAnsi="仿宋" w:eastAsia="仿宋" w:cs="仿宋"/>
          <w:snapToGrid w:val="0"/>
          <w:lang w:val="zh-CN"/>
        </w:rPr>
      </w:pPr>
      <w:r>
        <w:rPr>
          <w:rFonts w:hint="eastAsia" w:ascii="仿宋" w:hAnsi="仿宋" w:eastAsia="仿宋" w:cs="仿宋"/>
          <w:snapToGrid w:val="0"/>
        </w:rPr>
        <w:t>3.</w:t>
      </w:r>
      <w:r>
        <w:rPr>
          <w:rFonts w:hint="eastAsia" w:ascii="仿宋" w:hAnsi="仿宋" w:eastAsia="仿宋" w:cs="仿宋"/>
          <w:snapToGrid w:val="0"/>
          <w:lang w:val="zh-CN"/>
        </w:rPr>
        <w:t>报价方对提供的货物在质保期内，因产品质量而导致的缺陷，必须免费提供包修、包换、包退服务。</w:t>
      </w:r>
    </w:p>
    <w:p>
      <w:pPr>
        <w:spacing w:line="400" w:lineRule="exact"/>
        <w:ind w:firstLine="482" w:firstLineChars="200"/>
        <w:rPr>
          <w:rFonts w:hint="eastAsia" w:ascii="仿宋" w:hAnsi="仿宋" w:eastAsia="仿宋" w:cs="仿宋"/>
        </w:rPr>
      </w:pPr>
      <w:r>
        <w:rPr>
          <w:rFonts w:hint="eastAsia" w:ascii="仿宋" w:hAnsi="仿宋" w:eastAsia="仿宋" w:cs="仿宋"/>
          <w:b/>
          <w:bCs/>
          <w:snapToGrid w:val="0"/>
        </w:rPr>
        <w:t>4.付款及结算方式：</w:t>
      </w:r>
      <w:r>
        <w:rPr>
          <w:rFonts w:hint="eastAsia" w:ascii="仿宋" w:hAnsi="仿宋" w:eastAsia="仿宋" w:cs="仿宋"/>
        </w:rPr>
        <w:t>验收合格</w:t>
      </w:r>
      <w:r>
        <w:rPr>
          <w:rFonts w:hint="eastAsia" w:ascii="仿宋" w:hAnsi="仿宋" w:eastAsia="仿宋" w:cs="仿宋"/>
          <w:snapToGrid w:val="0"/>
          <w:lang w:val="zh-CN"/>
        </w:rPr>
        <w:t>后，成交供应商按采购人要求凭国家正式发票及相关证明文件向采购人申请付款，采购人收到申请后在</w:t>
      </w:r>
      <w:r>
        <w:rPr>
          <w:rFonts w:hint="eastAsia" w:ascii="仿宋" w:hAnsi="仿宋" w:eastAsia="仿宋" w:cs="仿宋"/>
          <w:snapToGrid w:val="0"/>
        </w:rPr>
        <w:t>15</w:t>
      </w:r>
      <w:r>
        <w:rPr>
          <w:rFonts w:hint="eastAsia" w:ascii="仿宋" w:hAnsi="仿宋" w:eastAsia="仿宋" w:cs="仿宋"/>
          <w:snapToGrid w:val="0"/>
          <w:lang w:val="zh-CN"/>
        </w:rPr>
        <w:t>个工作日内结清全部货款。</w:t>
      </w:r>
    </w:p>
    <w:p>
      <w:pPr>
        <w:spacing w:line="400" w:lineRule="exact"/>
        <w:ind w:firstLine="482" w:firstLineChars="200"/>
        <w:rPr>
          <w:rFonts w:hint="eastAsia" w:ascii="仿宋" w:hAnsi="仿宋" w:eastAsia="仿宋" w:cs="仿宋"/>
          <w:b/>
          <w:bCs/>
        </w:rPr>
      </w:pPr>
      <w:r>
        <w:rPr>
          <w:rFonts w:hint="eastAsia" w:ascii="仿宋" w:hAnsi="仿宋" w:eastAsia="仿宋" w:cs="仿宋"/>
          <w:b/>
          <w:bCs/>
        </w:rPr>
        <w:t>（四）验收方法及标准</w:t>
      </w:r>
    </w:p>
    <w:p>
      <w:pPr>
        <w:spacing w:line="400" w:lineRule="exact"/>
        <w:ind w:firstLine="480" w:firstLineChars="200"/>
      </w:pPr>
      <w:r>
        <w:rPr>
          <w:rFonts w:hint="eastAsia" w:ascii="仿宋" w:hAnsi="仿宋" w:eastAsia="仿宋" w:cs="仿宋"/>
        </w:rPr>
        <w:t>按照签订的采购合同、技术要求及标准对每一环节、标准的履约情况进行验收。验收结束后，应当出具验收书，由双方共同签署。</w:t>
      </w:r>
    </w:p>
    <w:sectPr>
      <w:pgSz w:w="11906" w:h="16838"/>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7EB16"/>
    <w:multiLevelType w:val="singleLevel"/>
    <w:tmpl w:val="02F7EB16"/>
    <w:lvl w:ilvl="0" w:tentative="0">
      <w:start w:val="3"/>
      <w:numFmt w:val="chineseCounting"/>
      <w:suff w:val="nothing"/>
      <w:lvlText w:val="（%1）"/>
      <w:lvlJc w:val="left"/>
      <w:rPr>
        <w:rFonts w:hint="eastAsia"/>
      </w:rPr>
    </w:lvl>
  </w:abstractNum>
  <w:abstractNum w:abstractNumId="1">
    <w:nsid w:val="3700A38D"/>
    <w:multiLevelType w:val="singleLevel"/>
    <w:tmpl w:val="3700A38D"/>
    <w:lvl w:ilvl="0" w:tentative="0">
      <w:start w:val="1"/>
      <w:numFmt w:val="decimal"/>
      <w:lvlText w:val="%1."/>
      <w:lvlJc w:val="left"/>
      <w:pPr>
        <w:tabs>
          <w:tab w:val="left" w:pos="312"/>
        </w:tabs>
      </w:pPr>
    </w:lvl>
  </w:abstractNum>
  <w:abstractNum w:abstractNumId="2">
    <w:nsid w:val="39DA2991"/>
    <w:multiLevelType w:val="multilevel"/>
    <w:tmpl w:val="39DA2991"/>
    <w:lvl w:ilvl="0" w:tentative="0">
      <w:start w:val="1"/>
      <w:numFmt w:val="chineseCountingThousand"/>
      <w:suff w:val="nothing"/>
      <w:lvlText w:val="%1、"/>
      <w:lvlJc w:val="left"/>
      <w:pPr>
        <w:ind w:left="13" w:firstLine="555"/>
      </w:pPr>
      <w:rPr>
        <w:rFonts w:hint="eastAsia" w:cs="Times New Roman"/>
        <w:b w:val="0"/>
      </w:rPr>
    </w:lvl>
    <w:lvl w:ilvl="1" w:tentative="0">
      <w:start w:val="1"/>
      <w:numFmt w:val="japaneseCounting"/>
      <w:lvlText w:val="%2、"/>
      <w:lvlJc w:val="left"/>
      <w:pPr>
        <w:ind w:left="1996" w:hanging="720"/>
      </w:pPr>
      <w:rPr>
        <w:rFonts w:hint="default" w:cs="Times New Roman"/>
      </w:rPr>
    </w:lvl>
    <w:lvl w:ilvl="2" w:tentative="0">
      <w:start w:val="1"/>
      <w:numFmt w:val="lowerRoman"/>
      <w:lvlText w:val="%3."/>
      <w:lvlJc w:val="right"/>
      <w:pPr>
        <w:ind w:left="1821" w:hanging="420"/>
      </w:pPr>
      <w:rPr>
        <w:rFonts w:cs="Times New Roman"/>
      </w:rPr>
    </w:lvl>
    <w:lvl w:ilvl="3" w:tentative="0">
      <w:start w:val="1"/>
      <w:numFmt w:val="decimal"/>
      <w:lvlText w:val="%4."/>
      <w:lvlJc w:val="left"/>
      <w:pPr>
        <w:ind w:left="2241" w:hanging="420"/>
      </w:pPr>
      <w:rPr>
        <w:rFonts w:cs="Times New Roman"/>
      </w:rPr>
    </w:lvl>
    <w:lvl w:ilvl="4" w:tentative="0">
      <w:start w:val="1"/>
      <w:numFmt w:val="lowerLetter"/>
      <w:lvlText w:val="%5)"/>
      <w:lvlJc w:val="left"/>
      <w:pPr>
        <w:ind w:left="2661" w:hanging="420"/>
      </w:pPr>
      <w:rPr>
        <w:rFonts w:cs="Times New Roman"/>
      </w:rPr>
    </w:lvl>
    <w:lvl w:ilvl="5" w:tentative="0">
      <w:start w:val="1"/>
      <w:numFmt w:val="lowerRoman"/>
      <w:lvlText w:val="%6."/>
      <w:lvlJc w:val="right"/>
      <w:pPr>
        <w:ind w:left="3081" w:hanging="420"/>
      </w:pPr>
      <w:rPr>
        <w:rFonts w:cs="Times New Roman"/>
      </w:rPr>
    </w:lvl>
    <w:lvl w:ilvl="6" w:tentative="0">
      <w:start w:val="1"/>
      <w:numFmt w:val="decimal"/>
      <w:lvlText w:val="%7."/>
      <w:lvlJc w:val="left"/>
      <w:pPr>
        <w:ind w:left="3501" w:hanging="420"/>
      </w:pPr>
      <w:rPr>
        <w:rFonts w:cs="Times New Roman"/>
      </w:rPr>
    </w:lvl>
    <w:lvl w:ilvl="7" w:tentative="0">
      <w:start w:val="1"/>
      <w:numFmt w:val="lowerLetter"/>
      <w:lvlText w:val="%8)"/>
      <w:lvlJc w:val="left"/>
      <w:pPr>
        <w:ind w:left="3921" w:hanging="420"/>
      </w:pPr>
      <w:rPr>
        <w:rFonts w:cs="Times New Roman"/>
      </w:rPr>
    </w:lvl>
    <w:lvl w:ilvl="8" w:tentative="0">
      <w:start w:val="1"/>
      <w:numFmt w:val="lowerRoman"/>
      <w:lvlText w:val="%9."/>
      <w:lvlJc w:val="right"/>
      <w:pPr>
        <w:ind w:left="4341" w:hanging="420"/>
      </w:pPr>
      <w:rPr>
        <w:rFonts w:cs="Times New Roman"/>
      </w:rPr>
    </w:lvl>
  </w:abstractNum>
  <w:abstractNum w:abstractNumId="3">
    <w:nsid w:val="62EDA3E8"/>
    <w:multiLevelType w:val="singleLevel"/>
    <w:tmpl w:val="62EDA3E8"/>
    <w:lvl w:ilvl="0" w:tentative="0">
      <w:start w:val="1"/>
      <w:numFmt w:val="decimal"/>
      <w:lvlText w:val="%1."/>
      <w:lvlJc w:val="left"/>
      <w:pPr>
        <w:tabs>
          <w:tab w:val="left" w:pos="312"/>
        </w:tabs>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zYWY5MzIxMjU4MjUwZWE0MTI1N2RmNTQ4Y2EzMDUifQ=="/>
  </w:docVars>
  <w:rsids>
    <w:rsidRoot w:val="1F094B93"/>
    <w:rsid w:val="1F094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3">
    <w:name w:val="Body Text"/>
    <w:basedOn w:val="1"/>
    <w:next w:val="4"/>
    <w:qFormat/>
    <w:uiPriority w:val="0"/>
    <w:rPr>
      <w:sz w:val="21"/>
    </w:rPr>
  </w:style>
  <w:style w:type="paragraph" w:styleId="4">
    <w:name w:val="Date"/>
    <w:basedOn w:val="1"/>
    <w:next w:val="1"/>
    <w:qFormat/>
    <w:uiPriority w:val="0"/>
    <w:rPr>
      <w:b/>
      <w:sz w:val="28"/>
    </w:rPr>
  </w:style>
  <w:style w:type="paragraph" w:styleId="5">
    <w:name w:val="Plain Text"/>
    <w:basedOn w:val="1"/>
    <w:qFormat/>
    <w:uiPriority w:val="0"/>
    <w:rPr>
      <w:rFonts w:ascii="宋体" w:hAnsi="Courier New" w:cs="Courier New"/>
      <w:kern w:val="2"/>
      <w:szCs w:val="21"/>
    </w:rPr>
  </w:style>
  <w:style w:type="paragraph" w:styleId="6">
    <w:name w:val="toc 6"/>
    <w:basedOn w:val="1"/>
    <w:next w:val="1"/>
    <w:qFormat/>
    <w:uiPriority w:val="0"/>
    <w:pPr>
      <w:ind w:left="1050"/>
      <w:jc w:val="left"/>
    </w:pPr>
    <w:rPr>
      <w:rFonts w:ascii="Calibri" w:hAnsi="Calibri" w:eastAsia="宋体" w:cs="Times New Roman"/>
      <w:sz w:val="18"/>
      <w:szCs w:val="18"/>
    </w:rPr>
  </w:style>
  <w:style w:type="paragraph" w:styleId="7">
    <w:name w:val="Body Text First Indent"/>
    <w:basedOn w:val="3"/>
    <w:next w:val="6"/>
    <w:unhideWhenUsed/>
    <w:qFormat/>
    <w:uiPriority w:val="99"/>
    <w:pPr>
      <w:spacing w:after="120"/>
      <w:ind w:firstLine="420" w:firstLineChars="100"/>
    </w:pPr>
    <w:rPr>
      <w:sz w:val="21"/>
    </w:rPr>
  </w:style>
  <w:style w:type="paragraph" w:customStyle="1" w:styleId="10">
    <w:name w:val="List Paragraph"/>
    <w:basedOn w:val="1"/>
    <w:uiPriority w:val="0"/>
    <w:pPr>
      <w:widowControl/>
      <w:ind w:left="720" w:firstLine="360"/>
      <w:jc w:val="left"/>
    </w:pPr>
    <w:rPr>
      <w:rFonts w:ascii="Calibri" w:hAnsi="Calibri"/>
      <w:sz w:val="22"/>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2022-12-01T06:22:00Z</dcterms:created>
  <dc:creator>Administrator</dc:creator>
  <cp:lastModifiedBy>Administrator</cp:lastModifiedBy>
  <dcterms:modified xsi:type="dcterms:W3CDTF">2022-12-01T06:23:40Z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817FBD95D89F4DDB93B4B00CDD2217C0</vt:lpwstr>
  </property>
</Properties>
</file>