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0" w:beforeLines="100" w:line="400" w:lineRule="exact"/>
        <w:jc w:val="center"/>
        <w:textAlignment w:val="auto"/>
        <w:outlineLvl w:val="0"/>
        <w:rPr>
          <w:rFonts w:hint="eastAsia" w:ascii="仿宋" w:hAnsi="仿宋" w:eastAsia="仿宋" w:cs="仿宋"/>
          <w:kern w:val="2"/>
          <w:sz w:val="28"/>
          <w:szCs w:val="28"/>
          <w:lang w:val="en-US" w:eastAsia="zh-CN"/>
        </w:rPr>
      </w:pPr>
      <w:bookmarkStart w:id="1" w:name="_GoBack"/>
      <w:r>
        <w:rPr>
          <w:rFonts w:hint="eastAsia" w:ascii="仿宋" w:hAnsi="仿宋" w:eastAsia="仿宋" w:cs="仿宋"/>
          <w:kern w:val="2"/>
          <w:sz w:val="28"/>
          <w:szCs w:val="28"/>
          <w:lang w:val="en-US" w:eastAsia="zh-CN"/>
        </w:rPr>
        <w:t>附件：安庆市疾病预防控制中心PPD试剂及结核病实验室试剂耗材采购项目</w:t>
      </w:r>
    </w:p>
    <w:bookmarkEnd w:id="1"/>
    <w:p>
      <w:pPr>
        <w:numPr>
          <w:ilvl w:val="0"/>
          <w:numId w:val="0"/>
        </w:numPr>
        <w:jc w:val="center"/>
        <w:rPr>
          <w:rFonts w:hint="eastAsia" w:ascii="方正小标宋_GBK" w:hAnsi="方正小标宋_GBK" w:eastAsia="方正小标宋_GBK" w:cs="方正小标宋_GBK"/>
          <w:b w:val="0"/>
          <w:bCs w:val="0"/>
          <w:sz w:val="32"/>
          <w:szCs w:val="32"/>
          <w:lang w:eastAsia="zh-CN"/>
        </w:rPr>
      </w:pP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p>
      <w:pPr>
        <w:pStyle w:val="3"/>
        <w:spacing w:line="400" w:lineRule="exact"/>
        <w:rPr>
          <w:rFonts w:hint="eastAsia" w:ascii="仿宋" w:hAnsi="仿宋" w:eastAsia="仿宋" w:cs="仿宋"/>
          <w:b/>
          <w:bCs/>
          <w:szCs w:val="24"/>
          <w:lang w:eastAsia="zh-CN"/>
        </w:rPr>
      </w:pPr>
      <w:r>
        <w:rPr>
          <w:rFonts w:hint="eastAsia" w:ascii="仿宋" w:hAnsi="仿宋" w:eastAsia="仿宋" w:cs="仿宋"/>
          <w:b/>
          <w:bCs/>
          <w:szCs w:val="24"/>
          <w:lang w:eastAsia="zh-CN"/>
        </w:rPr>
        <w:t>前注：</w:t>
      </w:r>
    </w:p>
    <w:p>
      <w:pPr>
        <w:pStyle w:val="3"/>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3"/>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3"/>
        <w:spacing w:line="400" w:lineRule="exact"/>
        <w:ind w:firstLine="482" w:firstLineChars="200"/>
        <w:rPr>
          <w:rFonts w:hint="eastAsia"/>
          <w:b/>
          <w:bCs/>
          <w:sz w:val="32"/>
          <w:szCs w:val="32"/>
          <w:lang w:eastAsia="zh-CN"/>
        </w:rPr>
      </w:pPr>
      <w:r>
        <w:rPr>
          <w:rFonts w:hint="eastAsia" w:ascii="仿宋" w:hAnsi="仿宋" w:eastAsia="仿宋" w:cs="仿宋"/>
          <w:b/>
          <w:bCs/>
          <w:szCs w:val="24"/>
        </w:rPr>
        <w:t>2.原装进口的产品，如国内产品满足需求也可参与采购竞争。</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4"/>
          <w:szCs w:val="24"/>
          <w:lang w:eastAsia="zh-CN"/>
        </w:rPr>
        <w:t>采购需求一览表及技术要求</w:t>
      </w:r>
    </w:p>
    <w:p>
      <w:pPr>
        <w:pStyle w:val="6"/>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b/>
          <w:bCs/>
          <w:sz w:val="28"/>
          <w:szCs w:val="28"/>
          <w:highlight w:val="yellow"/>
          <w:lang w:eastAsia="zh-CN"/>
        </w:rPr>
      </w:pPr>
      <w:r>
        <w:rPr>
          <w:rFonts w:hint="eastAsia" w:ascii="仿宋" w:hAnsi="仿宋" w:eastAsia="仿宋" w:cs="仿宋"/>
          <w:b/>
          <w:bCs/>
          <w:kern w:val="2"/>
          <w:sz w:val="28"/>
          <w:szCs w:val="28"/>
          <w:highlight w:val="yellow"/>
          <w:lang w:eastAsia="zh-CN"/>
        </w:rPr>
        <w:t>包一：</w:t>
      </w:r>
      <w:r>
        <w:rPr>
          <w:rFonts w:hint="eastAsia" w:ascii="仿宋" w:hAnsi="仿宋" w:eastAsia="仿宋" w:cs="仿宋"/>
          <w:b/>
          <w:bCs/>
          <w:kern w:val="2"/>
          <w:sz w:val="28"/>
          <w:szCs w:val="28"/>
          <w:highlight w:val="yellow"/>
          <w:lang w:val="en-US" w:eastAsia="zh-CN"/>
        </w:rPr>
        <w:t>PPD试剂</w:t>
      </w:r>
    </w:p>
    <w:tbl>
      <w:tblPr>
        <w:tblStyle w:val="4"/>
        <w:tblpPr w:leftFromText="180" w:rightFromText="180" w:vertAnchor="text" w:horzAnchor="page" w:tblpX="1527" w:tblpY="235"/>
        <w:tblOverlap w:val="never"/>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3883"/>
        <w:gridCol w:w="2981"/>
        <w:gridCol w:w="748"/>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卡介苗纯蛋白衍生物（BCG-PPD）</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1.规格：50IU/ml；</w:t>
            </w:r>
          </w:p>
          <w:p>
            <w:pPr>
              <w:spacing w:line="400" w:lineRule="exact"/>
              <w:rPr>
                <w:rFonts w:hint="default" w:ascii="仿宋" w:hAnsi="仿宋" w:eastAsia="仿宋" w:cs="仿宋"/>
                <w:snapToGrid w:val="0"/>
                <w:lang w:val="en-US" w:eastAsia="zh-CN"/>
              </w:rPr>
            </w:pPr>
            <w:r>
              <w:rPr>
                <w:rFonts w:hint="eastAsia" w:ascii="仿宋" w:hAnsi="仿宋" w:eastAsia="仿宋" w:cs="仿宋"/>
                <w:snapToGrid w:val="0"/>
                <w:lang w:val="en-US" w:eastAsia="zh-CN"/>
              </w:rPr>
              <w:t>2.适用范围：大年龄组</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结核菌素纯蛋白衍生物（TB-PPD）</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1.规格：20IU/ml</w:t>
            </w:r>
          </w:p>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2.适用范围：小年龄组</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3"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857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lang w:val="en-US" w:eastAsia="zh-CN"/>
              </w:rPr>
            </w:pPr>
            <w:r>
              <w:rPr>
                <w:rFonts w:hint="eastAsia" w:ascii="仿宋" w:hAnsi="仿宋" w:eastAsia="仿宋" w:cs="Times New Roman"/>
                <w:b/>
                <w:bCs/>
                <w:sz w:val="22"/>
                <w:szCs w:val="22"/>
                <w:lang w:val="en-US" w:eastAsia="zh-CN"/>
              </w:rPr>
              <w:t>4.以上产品技术要求必须全部满足，需提供技术证明文件之一（第三方检测报告、产品技术白皮书、产品使用说明书）予以证明所提供的产品符合以上技术要求。</w:t>
            </w:r>
          </w:p>
        </w:tc>
      </w:tr>
    </w:tbl>
    <w:p>
      <w:pPr>
        <w:pStyle w:val="6"/>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p>
    <w:p>
      <w:pPr>
        <w:pStyle w:val="6"/>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p>
    <w:p>
      <w:pPr>
        <w:pStyle w:val="6"/>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p>
    <w:p>
      <w:pPr>
        <w:pStyle w:val="6"/>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p>
    <w:p>
      <w:pPr>
        <w:pStyle w:val="6"/>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包二：</w:t>
      </w:r>
      <w:r>
        <w:rPr>
          <w:rFonts w:hint="eastAsia" w:ascii="仿宋" w:hAnsi="仿宋" w:eastAsia="仿宋" w:cs="仿宋"/>
          <w:b/>
          <w:bCs/>
          <w:kern w:val="2"/>
          <w:sz w:val="28"/>
          <w:szCs w:val="28"/>
          <w:lang w:eastAsia="zh-CN"/>
        </w:rPr>
        <w:t>结核病实验室</w:t>
      </w:r>
      <w:r>
        <w:rPr>
          <w:rFonts w:hint="eastAsia" w:ascii="仿宋" w:hAnsi="仿宋" w:eastAsia="仿宋" w:cs="仿宋"/>
          <w:b/>
          <w:bCs/>
          <w:kern w:val="2"/>
          <w:sz w:val="28"/>
          <w:szCs w:val="28"/>
          <w:lang w:val="en-US" w:eastAsia="zh-CN"/>
        </w:rPr>
        <w:t>试剂耗材</w:t>
      </w:r>
    </w:p>
    <w:tbl>
      <w:tblPr>
        <w:tblStyle w:val="4"/>
        <w:tblpPr w:leftFromText="180" w:rightFromText="180" w:vertAnchor="text" w:horzAnchor="page" w:tblpX="1505" w:tblpY="6"/>
        <w:tblOverlap w:val="never"/>
        <w:tblW w:w="48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1425"/>
        <w:gridCol w:w="6641"/>
        <w:gridCol w:w="520"/>
        <w:gridCol w:w="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73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343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26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36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中性罗氏培养基</w:t>
            </w:r>
          </w:p>
        </w:tc>
        <w:tc>
          <w:tcPr>
            <w:tcW w:w="3439" w:type="pct"/>
            <w:vMerge w:val="restart"/>
            <w:tcBorders>
              <w:top w:val="single" w:color="auto" w:sz="4" w:space="0"/>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1.产品规格：每支培养基含量7ML；管上有喷墨印刷标签，含品名，批号，制造日期，有效日期。</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2.中性罗氏培养基50支/盒，药敏培养基25支/盒。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3.培养管规格25MM×80MM,使用螺旋盖无毒，无菌，透明塑料PC管，管内培养基斜面长度，管与管之间误差±0.3MM;盒内必须有格板防止倾倒。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4.斜面占培养管长度的2/3-4/5；培养基成品表面平滑，触之有一定韧度，背面气泡不得多于2个；培养基颜色一致。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napToGrid w:val="0"/>
                <w:sz w:val="22"/>
                <w:szCs w:val="22"/>
                <w:lang w:val="en-US" w:eastAsia="zh-CN"/>
              </w:rPr>
            </w:pPr>
            <w:r>
              <w:rPr>
                <w:rFonts w:hint="eastAsia" w:ascii="仿宋" w:hAnsi="仿宋" w:eastAsia="仿宋" w:cs="仿宋"/>
                <w:snapToGrid w:val="0"/>
                <w:sz w:val="22"/>
                <w:szCs w:val="22"/>
                <w:lang w:val="en-US" w:eastAsia="zh-CN"/>
              </w:rPr>
              <w:t>5.培养管需用专用试管，具有透气，防污染的功能。</w:t>
            </w:r>
            <w:r>
              <w:rPr>
                <w:rFonts w:hint="eastAsia" w:ascii="仿宋" w:hAnsi="仿宋" w:eastAsia="仿宋" w:cs="仿宋"/>
                <w:b/>
                <w:bCs/>
                <w:snapToGrid w:val="0"/>
                <w:sz w:val="22"/>
                <w:szCs w:val="22"/>
                <w:lang w:val="en-US" w:eastAsia="zh-CN"/>
              </w:rPr>
              <w:t>提供专用试管的相关证明文件。</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6.药敏培养基含有下列品名和浓度：对硝基苯甲酸：500ug/ml,异烟肼;0.2ug/ml,利福平：40ug/ml,卡那霉素:30ug/ml,氧氟沙星：2ug/ml.</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7.污染试验:培养基放入35℃-37℃孵育箱内孵育24-48小时，应无细菌生长；生长试验：接种H37Ra结核分枝杆菌至21天可见菌落生长。</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napToGrid w:val="0"/>
                <w:sz w:val="22"/>
                <w:szCs w:val="22"/>
                <w:lang w:val="en-US" w:eastAsia="zh-CN"/>
              </w:rPr>
            </w:pPr>
            <w:r>
              <w:rPr>
                <w:rFonts w:hint="eastAsia" w:ascii="仿宋" w:hAnsi="仿宋" w:eastAsia="仿宋" w:cs="仿宋"/>
                <w:b/>
                <w:bCs/>
                <w:snapToGrid w:val="0"/>
                <w:sz w:val="22"/>
                <w:szCs w:val="22"/>
                <w:lang w:val="en-US" w:eastAsia="zh-CN"/>
              </w:rPr>
              <w:t>8.每批次培养基均提供检测报告（含污染试验与生长试验等）。</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highlight w:val="yellow"/>
                <w:lang w:val="en-US" w:eastAsia="zh-CN"/>
              </w:rPr>
            </w:pPr>
            <w:r>
              <w:rPr>
                <w:rFonts w:hint="eastAsia" w:ascii="仿宋" w:hAnsi="仿宋" w:eastAsia="仿宋" w:cs="仿宋"/>
                <w:snapToGrid w:val="0"/>
                <w:sz w:val="22"/>
                <w:szCs w:val="22"/>
                <w:lang w:val="en-US" w:eastAsia="zh-CN"/>
              </w:rPr>
              <w:t>9.中性罗氏培养基有效期为</w:t>
            </w:r>
            <w:r>
              <w:rPr>
                <w:rFonts w:hint="eastAsia" w:ascii="仿宋" w:hAnsi="仿宋" w:eastAsia="仿宋" w:cs="仿宋"/>
                <w:snapToGrid w:val="0"/>
                <w:sz w:val="22"/>
                <w:szCs w:val="22"/>
                <w:highlight w:val="yellow"/>
                <w:lang w:val="en-US" w:eastAsia="zh-CN"/>
              </w:rPr>
              <w:t>≥6个月，药敏罗氏培养基有效期为≥3个月。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10.运输条件：在2℃-8℃环境保存（可在8℃-25℃温度范围7天内短时运输）。</w:t>
            </w:r>
            <w:r>
              <w:rPr>
                <w:rFonts w:hint="eastAsia" w:ascii="仿宋" w:hAnsi="仿宋" w:eastAsia="仿宋" w:cs="仿宋"/>
                <w:b/>
                <w:bCs/>
                <w:snapToGrid w:val="0"/>
                <w:sz w:val="22"/>
                <w:szCs w:val="22"/>
                <w:lang w:val="en-US" w:eastAsia="zh-CN"/>
              </w:rPr>
              <w:t>此条件需在产品注册证中明确注明。</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11.上述培养基及包装规格必须全部具备二类医疗器械产品注册证。所有培养基名称需明确体现在注册证中。药敏培养基注册证中必须明确注明所需产品的具体名称和药物成分，浓度等信息，缺少一种所需产品的内容即视为不能满足供货条件。</w:t>
            </w: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药敏试验PNB</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药敏试验RFP</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4</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药敏试验INH</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药敏试验OFX</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6</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药敏试验KM</w:t>
            </w:r>
          </w:p>
        </w:tc>
        <w:tc>
          <w:tcPr>
            <w:tcW w:w="3439" w:type="pct"/>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7</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药敏试验套组</w:t>
            </w:r>
          </w:p>
        </w:tc>
        <w:tc>
          <w:tcPr>
            <w:tcW w:w="343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1.材质：PC;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2.每套含四根试管，分别为：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（1）A管[含4.5克玻璃珠，2ml7H9培养液（0.5%Tween80),外尺寸：Φ25mm(±0.5）×80mm(±1)]；</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（2）B管、C管、D管[各含5ml,7H9培养液（0.5%Tween80),外尺寸：Φ15mm(±0.5)×103mm (±1)]；</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3.每支管上注明产品名称及生产日期；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4.效期（使用年限）：未开封原包装效期为。≥6个月。            </w:t>
            </w: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盒</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27" w:type="pct"/>
            <w:gridSpan w:val="2"/>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4072"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60" w:lineRule="exact"/>
              <w:jc w:val="both"/>
              <w:textAlignment w:val="auto"/>
              <w:rPr>
                <w:rFonts w:hint="eastAsia" w:ascii="仿宋" w:hAnsi="仿宋" w:eastAsia="仿宋" w:cs="仿宋"/>
                <w:b/>
                <w:bCs/>
                <w:snapToGrid w:val="0"/>
                <w:sz w:val="22"/>
                <w:szCs w:val="22"/>
                <w:lang w:val="en-US" w:eastAsia="zh-CN"/>
              </w:rPr>
            </w:pPr>
            <w:r>
              <w:rPr>
                <w:rFonts w:hint="eastAsia" w:ascii="仿宋" w:hAnsi="仿宋" w:eastAsia="仿宋" w:cs="仿宋"/>
                <w:b/>
                <w:bCs/>
                <w:snapToGrid w:val="0"/>
                <w:sz w:val="22"/>
                <w:szCs w:val="22"/>
                <w:lang w:val="en-US" w:eastAsia="zh-CN"/>
              </w:rPr>
              <w:t>以上所有产品须为同一厂家生产。</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5.需提供技术证明文件之一（技术要求中要求的证明文件、第三方检测报告、产品技术白皮书、产品使用说明书）予以证明所提供的产品符合以上技术要求。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仿宋" w:cs="仿宋"/>
                <w:snapToGrid w:val="0"/>
                <w:lang w:val="en-US" w:eastAsia="zh-CN"/>
              </w:rPr>
            </w:pPr>
            <w:r>
              <w:rPr>
                <w:rFonts w:hint="eastAsia" w:ascii="仿宋" w:hAnsi="仿宋" w:eastAsia="仿宋" w:cs="Times New Roman"/>
                <w:b/>
                <w:bCs/>
                <w:sz w:val="22"/>
                <w:szCs w:val="22"/>
                <w:lang w:val="en-US" w:eastAsia="zh-CN"/>
              </w:rPr>
              <w:t>6.报价文件中需提供产品的产品注册证。</w:t>
            </w:r>
          </w:p>
        </w:tc>
      </w:tr>
    </w:tbl>
    <w:p>
      <w:pPr>
        <w:pStyle w:val="3"/>
        <w:rPr>
          <w:rFonts w:hint="eastAsia" w:ascii="黑体" w:hAnsi="黑体" w:eastAsia="黑体" w:cs="黑体"/>
          <w:b w:val="0"/>
          <w:bCs w:val="0"/>
          <w:sz w:val="28"/>
          <w:szCs w:val="28"/>
          <w:lang w:eastAsia="zh-CN"/>
        </w:rPr>
      </w:pPr>
    </w:p>
    <w:p>
      <w:pPr>
        <w:pStyle w:val="6"/>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sz w:val="24"/>
          <w:szCs w:val="24"/>
          <w:lang w:val="zh-CN" w:eastAsia="zh-CN"/>
        </w:rPr>
      </w:pPr>
      <w:r>
        <w:rPr>
          <w:rFonts w:hint="eastAsia" w:ascii="Times New Roman" w:hAnsi="Times New Roman" w:eastAsia="黑体" w:cs="Times New Roman"/>
          <w:sz w:val="24"/>
          <w:szCs w:val="24"/>
          <w:lang w:val="zh-CN" w:eastAsia="zh-CN"/>
        </w:rPr>
        <w:t>二、</w:t>
      </w:r>
      <w:r>
        <w:rPr>
          <w:rFonts w:hint="eastAsia" w:ascii="Times New Roman" w:hAnsi="Times New Roman" w:eastAsia="黑体"/>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3"/>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10个日历天内完成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按照签订的采购合同、技术要求及标准对每一环节、标准的履约情况进行验收。验收结束后，应当出具验收书，由双方共同签署。</w:t>
      </w:r>
    </w:p>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DC0EC"/>
    <w:multiLevelType w:val="singleLevel"/>
    <w:tmpl w:val="905DC0EC"/>
    <w:lvl w:ilvl="0" w:tentative="0">
      <w:start w:val="1"/>
      <w:numFmt w:val="decimal"/>
      <w:lvlText w:val="%1."/>
      <w:lvlJc w:val="left"/>
      <w:pPr>
        <w:tabs>
          <w:tab w:val="left" w:pos="312"/>
        </w:tabs>
      </w:pPr>
    </w:lvl>
  </w:abstractNum>
  <w:abstractNum w:abstractNumId="1">
    <w:nsid w:val="02F7EB16"/>
    <w:multiLevelType w:val="singleLevel"/>
    <w:tmpl w:val="02F7EB16"/>
    <w:lvl w:ilvl="0" w:tentative="0">
      <w:start w:val="3"/>
      <w:numFmt w:val="chineseCounting"/>
      <w:suff w:val="nothing"/>
      <w:lvlText w:val="（%1）"/>
      <w:lvlJc w:val="left"/>
      <w:rPr>
        <w:rFonts w:hint="eastAsia"/>
      </w:rPr>
    </w:lvl>
  </w:abstractNum>
  <w:abstractNum w:abstractNumId="2">
    <w:nsid w:val="28DA07B2"/>
    <w:multiLevelType w:val="singleLevel"/>
    <w:tmpl w:val="28DA07B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4E3F68A0"/>
    <w:rsid w:val="4E3F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kern w:val="2"/>
      <w:szCs w:val="21"/>
    </w:rPr>
  </w:style>
  <w:style w:type="paragraph" w:customStyle="1" w:styleId="6">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2022-12-06T02:52:00Z</dcterms:created>
  <dc:creator>Administrator</dc:creator>
  <cp:lastModifiedBy>Administrator</cp:lastModifiedBy>
  <dcterms:modified xsi:type="dcterms:W3CDTF">2022-12-06T02:58:13Z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9099906D5E5E4C02A8C589EBE71DFA96</vt:lpwstr>
  </property>
</Properties>
</file>