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 w:hAnsi="仿宋" w:eastAsia="仿宋" w:cs="仿宋"/>
          <w:b/>
          <w:bCs/>
          <w:kern w:val="2"/>
          <w:sz w:val="28"/>
          <w:szCs w:val="28"/>
          <w:u w:val="none"/>
          <w:lang w:val="en-US" w:eastAsia="zh-CN"/>
        </w:rPr>
      </w:pPr>
      <w:r>
        <w:rPr>
          <w:rFonts w:hint="eastAsia" w:ascii="仿宋" w:hAnsi="仿宋" w:eastAsia="仿宋" w:cs="仿宋"/>
          <w:b/>
          <w:bCs/>
          <w:kern w:val="2"/>
          <w:sz w:val="28"/>
          <w:szCs w:val="28"/>
          <w:u w:val="none"/>
          <w:lang w:val="en-US" w:eastAsia="zh-CN"/>
        </w:rPr>
        <w:t>附件：安庆市疾病预防控制中心赛默飞离子色普仪附属配件及耗材采购项目</w:t>
      </w:r>
    </w:p>
    <w:p>
      <w:pPr>
        <w:numPr>
          <w:ilvl w:val="0"/>
          <w:numId w:val="0"/>
        </w:numPr>
        <w:jc w:val="center"/>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p>
      <w:pPr>
        <w:pStyle w:val="8"/>
        <w:spacing w:line="400" w:lineRule="exact"/>
        <w:rPr>
          <w:rFonts w:hint="eastAsia" w:ascii="仿宋" w:hAnsi="仿宋" w:eastAsia="仿宋" w:cs="仿宋"/>
          <w:b/>
          <w:bCs/>
          <w:szCs w:val="24"/>
          <w:lang w:eastAsia="zh-CN"/>
        </w:rPr>
      </w:pPr>
      <w:r>
        <w:rPr>
          <w:rFonts w:hint="eastAsia" w:ascii="仿宋" w:hAnsi="仿宋" w:eastAsia="仿宋" w:cs="仿宋"/>
          <w:b/>
          <w:bCs/>
          <w:szCs w:val="24"/>
          <w:lang w:eastAsia="zh-CN"/>
        </w:rPr>
        <w:t>前注：</w:t>
      </w:r>
    </w:p>
    <w:p>
      <w:pPr>
        <w:pStyle w:val="8"/>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8"/>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1" w:name="_GoBack"/>
      <w:bookmarkEnd w:id="1"/>
      <w:bookmarkStart w:id="0" w:name="_Toc24273"/>
    </w:p>
    <w:p>
      <w:pPr>
        <w:pStyle w:val="8"/>
        <w:spacing w:line="400" w:lineRule="exact"/>
        <w:ind w:firstLine="482" w:firstLineChars="200"/>
        <w:rPr>
          <w:rFonts w:hint="eastAsia"/>
          <w:b/>
          <w:bCs/>
          <w:sz w:val="32"/>
          <w:szCs w:val="32"/>
          <w:lang w:eastAsia="zh-CN"/>
        </w:rPr>
      </w:pPr>
      <w:r>
        <w:rPr>
          <w:rFonts w:hint="eastAsia" w:ascii="仿宋" w:hAnsi="仿宋" w:eastAsia="仿宋" w:cs="仿宋"/>
          <w:b/>
          <w:bCs/>
          <w:szCs w:val="24"/>
        </w:rPr>
        <w:t>2.原装进口的产品，如国内产品满足需求也可参与采购竞争。</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采购需求一览表及技术要求</w:t>
      </w:r>
    </w:p>
    <w:tbl>
      <w:tblPr>
        <w:tblStyle w:val="9"/>
        <w:tblW w:w="49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8"/>
        <w:gridCol w:w="1020"/>
        <w:gridCol w:w="1066"/>
        <w:gridCol w:w="6348"/>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30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22"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46"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w:t>
            </w:r>
          </w:p>
        </w:tc>
        <w:tc>
          <w:tcPr>
            <w:tcW w:w="325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37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7"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2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w:t>
            </w:r>
            <w:r>
              <w:rPr>
                <w:rStyle w:val="11"/>
                <w:rFonts w:eastAsia="宋体"/>
                <w:lang w:val="en-US" w:eastAsia="zh-CN" w:bidi="ar"/>
              </w:rPr>
              <w:t>KOH</w:t>
            </w:r>
            <w:r>
              <w:rPr>
                <w:rFonts w:hint="eastAsia" w:ascii="宋体" w:hAnsi="宋体" w:eastAsia="宋体" w:cs="宋体"/>
                <w:i w:val="0"/>
                <w:iCs w:val="0"/>
                <w:color w:val="000000"/>
                <w:kern w:val="0"/>
                <w:sz w:val="22"/>
                <w:szCs w:val="22"/>
                <w:u w:val="none"/>
                <w:lang w:val="en-US" w:eastAsia="zh-CN" w:bidi="ar"/>
              </w:rPr>
              <w:t>试剂罐</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EGC-III </w:t>
            </w:r>
          </w:p>
        </w:tc>
        <w:tc>
          <w:tcPr>
            <w:tcW w:w="3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适用于</w:t>
            </w:r>
            <w:r>
              <w:rPr>
                <w:rFonts w:hint="eastAsia" w:ascii="宋体" w:hAnsi="宋体" w:eastAsia="宋体" w:cs="宋体"/>
                <w:i w:val="0"/>
                <w:iCs w:val="0"/>
                <w:color w:val="000000"/>
                <w:kern w:val="0"/>
                <w:sz w:val="22"/>
                <w:szCs w:val="22"/>
                <w:u w:val="none"/>
                <w:lang w:val="en-US" w:eastAsia="zh-CN" w:bidi="ar"/>
              </w:rPr>
              <w:t xml:space="preserve"> 传统 RFIC-EG 系统（高达 3,000 psi）</w:t>
            </w:r>
          </w:p>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操作</w:t>
            </w:r>
            <w:r>
              <w:rPr>
                <w:rFonts w:hint="eastAsia" w:ascii="宋体" w:hAnsi="宋体" w:eastAsia="宋体" w:cs="宋体"/>
                <w:i w:val="0"/>
                <w:iCs w:val="0"/>
                <w:color w:val="000000"/>
                <w:kern w:val="0"/>
                <w:sz w:val="22"/>
                <w:szCs w:val="22"/>
                <w:u w:val="none"/>
                <w:lang w:val="en-US" w:eastAsia="zh-CN" w:bidi="ar"/>
              </w:rPr>
              <w:t xml:space="preserve"> 用于产生氢氧化物淋洗液。</w:t>
            </w:r>
          </w:p>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类型</w:t>
            </w:r>
            <w:r>
              <w:rPr>
                <w:rFonts w:hint="eastAsia" w:ascii="宋体" w:hAnsi="宋体" w:eastAsia="宋体" w:cs="宋体"/>
                <w:i w:val="0"/>
                <w:iCs w:val="0"/>
                <w:color w:val="000000"/>
                <w:kern w:val="0"/>
                <w:sz w:val="22"/>
                <w:szCs w:val="22"/>
                <w:u w:val="none"/>
                <w:lang w:val="en-US" w:eastAsia="zh-CN" w:bidi="ar"/>
              </w:rPr>
              <w:t xml:space="preserve"> 氢氧化钾淋洗液发生罐</w:t>
            </w:r>
          </w:p>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流速</w:t>
            </w:r>
            <w:r>
              <w:rPr>
                <w:rFonts w:hint="eastAsia" w:ascii="宋体" w:hAnsi="宋体" w:eastAsia="宋体" w:cs="宋体"/>
                <w:i w:val="0"/>
                <w:iCs w:val="0"/>
                <w:color w:val="000000"/>
                <w:kern w:val="0"/>
                <w:sz w:val="22"/>
                <w:szCs w:val="22"/>
                <w:u w:val="none"/>
                <w:lang w:val="en-US" w:eastAsia="zh-CN" w:bidi="ar"/>
              </w:rPr>
              <w:t xml:space="preserve"> 0.1 至 3.00 mL/min。</w:t>
            </w:r>
          </w:p>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压力</w:t>
            </w:r>
            <w:r>
              <w:rPr>
                <w:rFonts w:hint="eastAsia" w:ascii="宋体" w:hAnsi="宋体" w:eastAsia="宋体" w:cs="宋体"/>
                <w:i w:val="0"/>
                <w:iCs w:val="0"/>
                <w:color w:val="000000"/>
                <w:kern w:val="0"/>
                <w:sz w:val="22"/>
                <w:szCs w:val="22"/>
                <w:u w:val="none"/>
                <w:lang w:val="en-US" w:eastAsia="zh-CN" w:bidi="ar"/>
              </w:rPr>
              <w:t xml:space="preserve"> 最大值：21 MPa (3000 psi)</w:t>
            </w:r>
          </w:p>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溶剂</w:t>
            </w:r>
            <w:r>
              <w:rPr>
                <w:rFonts w:hint="eastAsia" w:ascii="宋体" w:hAnsi="宋体" w:eastAsia="宋体" w:cs="宋体"/>
                <w:i w:val="0"/>
                <w:iCs w:val="0"/>
                <w:color w:val="000000"/>
                <w:kern w:val="0"/>
                <w:sz w:val="22"/>
                <w:szCs w:val="22"/>
                <w:u w:val="none"/>
                <w:lang w:val="en-US" w:eastAsia="zh-CN" w:bidi="ar"/>
              </w:rPr>
              <w:t xml:space="preserve"> 25% 甲醇</w:t>
            </w:r>
          </w:p>
          <w:p>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浓缩</w:t>
            </w:r>
            <w:r>
              <w:rPr>
                <w:rFonts w:hint="eastAsia" w:ascii="宋体" w:hAnsi="宋体" w:eastAsia="宋体" w:cs="宋体"/>
                <w:i w:val="0"/>
                <w:iCs w:val="0"/>
                <w:color w:val="000000"/>
                <w:kern w:val="0"/>
                <w:sz w:val="22"/>
                <w:szCs w:val="22"/>
                <w:u w:val="none"/>
                <w:lang w:val="en-US" w:eastAsia="zh-CN" w:bidi="ar"/>
              </w:rPr>
              <w:t xml:space="preserve"> 0.1 至 100 mM</w:t>
            </w:r>
          </w:p>
          <w:p>
            <w:pPr>
              <w:keepNext w:val="0"/>
              <w:keepLines w:val="0"/>
              <w:widowControl/>
              <w:suppressLineNumbers w:val="0"/>
              <w:spacing w:after="220" w:afterAutospacing="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描述</w:t>
            </w:r>
            <w:r>
              <w:rPr>
                <w:rFonts w:hint="eastAsia" w:ascii="宋体" w:hAnsi="宋体" w:eastAsia="宋体" w:cs="宋体"/>
                <w:i w:val="0"/>
                <w:iCs w:val="0"/>
                <w:color w:val="000000"/>
                <w:kern w:val="0"/>
                <w:sz w:val="22"/>
                <w:szCs w:val="22"/>
                <w:u w:val="none"/>
                <w:lang w:val="en-US" w:eastAsia="zh-CN" w:bidi="ar"/>
              </w:rPr>
              <w:t xml:space="preserve"> Dionex EGC III KOH 氢氧化钾淋洗液发生罐</w:t>
            </w:r>
          </w:p>
        </w:tc>
        <w:tc>
          <w:tcPr>
            <w:tcW w:w="373"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适配赛默飞离子色谱仪使用，需提供工程师免费上门安装服务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8"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2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赛默飞阴离子抑制器</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ADRS 600 4mm</w:t>
            </w:r>
          </w:p>
        </w:tc>
        <w:tc>
          <w:tcPr>
            <w:tcW w:w="3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适用于</w:t>
            </w:r>
            <w:r>
              <w:rPr>
                <w:rFonts w:hint="eastAsia" w:ascii="宋体" w:hAnsi="宋体" w:eastAsia="宋体" w:cs="宋体"/>
                <w:i w:val="0"/>
                <w:iCs w:val="0"/>
                <w:color w:val="000000"/>
                <w:kern w:val="0"/>
                <w:sz w:val="22"/>
                <w:szCs w:val="22"/>
                <w:u w:val="none"/>
                <w:lang w:val="en-US" w:eastAsia="zh-CN" w:bidi="ar"/>
              </w:rPr>
              <w:t>需要高容量、低噪声、耐高背压和快速启动性能的离子色谱应用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操作</w:t>
            </w:r>
            <w:r>
              <w:rPr>
                <w:rFonts w:hint="eastAsia" w:ascii="宋体" w:hAnsi="宋体" w:eastAsia="宋体" w:cs="宋体"/>
                <w:i w:val="0"/>
                <w:iCs w:val="0"/>
                <w:color w:val="000000"/>
                <w:kern w:val="0"/>
                <w:sz w:val="22"/>
                <w:szCs w:val="22"/>
                <w:u w:val="none"/>
                <w:lang w:val="en-US" w:eastAsia="zh-CN" w:bidi="ar"/>
              </w:rPr>
              <w:t>用于离子色谱中的电解再生抑制</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流速</w:t>
            </w:r>
            <w:r>
              <w:rPr>
                <w:rFonts w:hint="eastAsia" w:ascii="宋体" w:hAnsi="宋体" w:eastAsia="宋体" w:cs="宋体"/>
                <w:i w:val="0"/>
                <w:iCs w:val="0"/>
                <w:color w:val="000000"/>
                <w:kern w:val="0"/>
                <w:sz w:val="22"/>
                <w:szCs w:val="22"/>
                <w:u w:val="none"/>
                <w:lang w:val="en-US" w:eastAsia="zh-CN" w:bidi="ar"/>
              </w:rPr>
              <w:t xml:space="preserve"> 最大值 3 mL/min</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压力</w:t>
            </w:r>
            <w:r>
              <w:rPr>
                <w:rFonts w:hint="eastAsia" w:ascii="宋体" w:hAnsi="宋体" w:eastAsia="宋体" w:cs="宋体"/>
                <w:i w:val="0"/>
                <w:iCs w:val="0"/>
                <w:color w:val="000000"/>
                <w:kern w:val="0"/>
                <w:sz w:val="22"/>
                <w:szCs w:val="22"/>
                <w:u w:val="none"/>
                <w:lang w:val="en-US" w:eastAsia="zh-CN" w:bidi="ar"/>
              </w:rPr>
              <w:t xml:space="preserve"> 30 至 100 psi（推荐值）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安培数</w:t>
            </w:r>
            <w:r>
              <w:rPr>
                <w:rFonts w:hint="eastAsia" w:ascii="宋体" w:hAnsi="宋体" w:eastAsia="宋体" w:cs="宋体"/>
                <w:i w:val="0"/>
                <w:iCs w:val="0"/>
                <w:color w:val="000000"/>
                <w:kern w:val="0"/>
                <w:sz w:val="22"/>
                <w:szCs w:val="22"/>
                <w:u w:val="none"/>
                <w:lang w:val="en-US" w:eastAsia="zh-CN" w:bidi="ar"/>
              </w:rPr>
              <w:t xml:space="preserve"> 500 mA</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温度范围</w:t>
            </w:r>
            <w:r>
              <w:rPr>
                <w:rFonts w:hint="eastAsia" w:ascii="宋体" w:hAnsi="宋体" w:eastAsia="宋体" w:cs="宋体"/>
                <w:i w:val="0"/>
                <w:iCs w:val="0"/>
                <w:color w:val="000000"/>
                <w:kern w:val="0"/>
                <w:sz w:val="22"/>
                <w:szCs w:val="22"/>
                <w:u w:val="none"/>
                <w:lang w:val="en-US" w:eastAsia="zh-CN" w:bidi="ar"/>
              </w:rPr>
              <w:t xml:space="preserve"> 15°C 至 50°C</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描述</w:t>
            </w:r>
            <w:r>
              <w:rPr>
                <w:rFonts w:hint="eastAsia" w:ascii="宋体" w:hAnsi="宋体" w:eastAsia="宋体" w:cs="宋体"/>
                <w:i w:val="0"/>
                <w:iCs w:val="0"/>
                <w:color w:val="000000"/>
                <w:kern w:val="0"/>
                <w:sz w:val="22"/>
                <w:szCs w:val="22"/>
                <w:u w:val="none"/>
                <w:lang w:val="en-US" w:eastAsia="zh-CN" w:bidi="ar"/>
              </w:rPr>
              <w:t xml:space="preserve"> Dionex ADRS 600 阴离子动态再生抑制器 (4 mm)，未启用耗材</w:t>
            </w:r>
            <w:r>
              <w:rPr>
                <w:rFonts w:hint="eastAsia" w:ascii="宋体" w:hAnsi="宋体" w:eastAsia="宋体" w:cs="宋体"/>
                <w:b/>
                <w:bCs/>
                <w:i w:val="0"/>
                <w:iCs w:val="0"/>
                <w:color w:val="000000"/>
                <w:kern w:val="0"/>
                <w:sz w:val="22"/>
                <w:szCs w:val="22"/>
                <w:u w:val="none"/>
                <w:lang w:val="en-US" w:eastAsia="zh-CN" w:bidi="ar"/>
              </w:rPr>
              <w:t>监测</w:t>
            </w:r>
            <w:r>
              <w:rPr>
                <w:rFonts w:hint="eastAsia" w:ascii="宋体" w:hAnsi="宋体" w:eastAsia="宋体" w:cs="宋体"/>
                <w:i w:val="0"/>
                <w:iCs w:val="0"/>
                <w:color w:val="000000"/>
                <w:kern w:val="0"/>
                <w:sz w:val="22"/>
                <w:szCs w:val="22"/>
                <w:u w:val="none"/>
                <w:lang w:val="en-US" w:eastAsia="zh-CN" w:bidi="ar"/>
              </w:rPr>
              <w:t>（替代产品号为 082540 的 Dionex AERS 阴离子电解再生抑制器 (4 mm)）</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适配赛默飞离子色谱仪使用，需提供工程师免费上门安装服务</w:t>
            </w:r>
          </w:p>
        </w:tc>
        <w:tc>
          <w:tcPr>
            <w:tcW w:w="373" w:type="pct"/>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1"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2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赛默飞阴离子保护柱</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 20 4*50mm</w:t>
            </w:r>
          </w:p>
        </w:tc>
        <w:tc>
          <w:tcPr>
            <w:tcW w:w="3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色谱柱类型</w:t>
            </w:r>
            <w:r>
              <w:rPr>
                <w:rFonts w:hint="eastAsia" w:ascii="宋体" w:hAnsi="宋体" w:eastAsia="宋体" w:cs="宋体"/>
                <w:i w:val="0"/>
                <w:iCs w:val="0"/>
                <w:color w:val="000000"/>
                <w:kern w:val="0"/>
                <w:sz w:val="22"/>
                <w:szCs w:val="22"/>
                <w:u w:val="none"/>
                <w:lang w:val="en-US" w:eastAsia="zh-CN" w:bidi="ar"/>
              </w:rPr>
              <w:t xml:space="preserve"> 保护柱</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认证/合规 </w:t>
            </w:r>
            <w:r>
              <w:rPr>
                <w:rFonts w:hint="eastAsia" w:ascii="宋体" w:hAnsi="宋体" w:eastAsia="宋体" w:cs="宋体"/>
                <w:i w:val="0"/>
                <w:iCs w:val="0"/>
                <w:color w:val="000000"/>
                <w:kern w:val="0"/>
                <w:sz w:val="22"/>
                <w:szCs w:val="22"/>
                <w:u w:val="none"/>
                <w:lang w:val="en-US" w:eastAsia="zh-CN" w:bidi="ar"/>
              </w:rPr>
              <w:t>美国 EPA 方法 314.1</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色谱柱容量</w:t>
            </w:r>
            <w:r>
              <w:rPr>
                <w:rFonts w:hint="eastAsia" w:ascii="宋体" w:hAnsi="宋体" w:eastAsia="宋体" w:cs="宋体"/>
                <w:i w:val="0"/>
                <w:iCs w:val="0"/>
                <w:color w:val="000000"/>
                <w:kern w:val="0"/>
                <w:sz w:val="22"/>
                <w:szCs w:val="22"/>
                <w:u w:val="none"/>
                <w:lang w:val="en-US" w:eastAsia="zh-CN" w:bidi="ar"/>
              </w:rPr>
              <w:t xml:space="preserve"> 6 µeq</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适用于（应用</w:t>
            </w:r>
            <w:r>
              <w:rPr>
                <w:rFonts w:hint="eastAsia" w:ascii="宋体" w:hAnsi="宋体" w:eastAsia="宋体" w:cs="宋体"/>
                <w:i w:val="0"/>
                <w:iCs w:val="0"/>
                <w:color w:val="000000"/>
                <w:kern w:val="0"/>
                <w:sz w:val="22"/>
                <w:szCs w:val="22"/>
                <w:u w:val="none"/>
                <w:lang w:val="en-US" w:eastAsia="zh-CN" w:bidi="ar"/>
              </w:rPr>
              <w:t>） 阴离子交换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适用于（设备）</w:t>
            </w:r>
            <w:r>
              <w:rPr>
                <w:rFonts w:hint="eastAsia" w:ascii="宋体" w:hAnsi="宋体" w:eastAsia="宋体" w:cs="宋体"/>
                <w:i w:val="0"/>
                <w:iCs w:val="0"/>
                <w:color w:val="000000"/>
                <w:kern w:val="0"/>
                <w:sz w:val="22"/>
                <w:szCs w:val="22"/>
                <w:u w:val="none"/>
                <w:lang w:val="en-US" w:eastAsia="zh-CN" w:bidi="ar"/>
              </w:rPr>
              <w:t xml:space="preserve"> 2 mm 或 4 mm AS20 色谱柱</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疏水性</w:t>
            </w:r>
            <w:r>
              <w:rPr>
                <w:rFonts w:hint="eastAsia" w:ascii="宋体" w:hAnsi="宋体" w:eastAsia="宋体" w:cs="宋体"/>
                <w:i w:val="0"/>
                <w:iCs w:val="0"/>
                <w:color w:val="000000"/>
                <w:kern w:val="0"/>
                <w:sz w:val="22"/>
                <w:szCs w:val="22"/>
                <w:u w:val="none"/>
                <w:lang w:val="en-US" w:eastAsia="zh-CN" w:bidi="ar"/>
              </w:rPr>
              <w:t xml:space="preserve"> 超低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最大压力</w:t>
            </w:r>
            <w:r>
              <w:rPr>
                <w:rFonts w:hint="eastAsia" w:ascii="宋体" w:hAnsi="宋体" w:eastAsia="宋体" w:cs="宋体"/>
                <w:i w:val="0"/>
                <w:iCs w:val="0"/>
                <w:color w:val="000000"/>
                <w:kern w:val="0"/>
                <w:sz w:val="22"/>
                <w:szCs w:val="22"/>
                <w:u w:val="none"/>
                <w:lang w:val="en-US" w:eastAsia="zh-CN" w:bidi="ar"/>
              </w:rPr>
              <w:t xml:space="preserve"> 4000 psi (275 bar)</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溶剂相容性</w:t>
            </w:r>
            <w:r>
              <w:rPr>
                <w:rFonts w:hint="eastAsia" w:ascii="宋体" w:hAnsi="宋体" w:eastAsia="宋体" w:cs="宋体"/>
                <w:i w:val="0"/>
                <w:iCs w:val="0"/>
                <w:color w:val="000000"/>
                <w:kern w:val="0"/>
                <w:sz w:val="22"/>
                <w:szCs w:val="22"/>
                <w:u w:val="none"/>
                <w:lang w:val="en-US" w:eastAsia="zh-CN" w:bidi="ar"/>
              </w:rPr>
              <w:t xml:space="preserve"> pH 0 至 14，0 至 100% HPLC 溶剂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粒径</w:t>
            </w:r>
            <w:r>
              <w:rPr>
                <w:rFonts w:hint="eastAsia" w:ascii="宋体" w:hAnsi="宋体" w:eastAsia="宋体" w:cs="宋体"/>
                <w:i w:val="0"/>
                <w:iCs w:val="0"/>
                <w:color w:val="000000"/>
                <w:kern w:val="0"/>
                <w:sz w:val="22"/>
                <w:szCs w:val="22"/>
                <w:u w:val="none"/>
                <w:lang w:val="en-US" w:eastAsia="zh-CN" w:bidi="ar"/>
              </w:rPr>
              <w:t xml:space="preserve"> 11 µm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固定相</w:t>
            </w:r>
            <w:r>
              <w:rPr>
                <w:rFonts w:hint="eastAsia" w:ascii="宋体" w:hAnsi="宋体" w:eastAsia="宋体" w:cs="宋体"/>
                <w:i w:val="0"/>
                <w:iCs w:val="0"/>
                <w:color w:val="000000"/>
                <w:kern w:val="0"/>
                <w:sz w:val="22"/>
                <w:szCs w:val="22"/>
                <w:u w:val="none"/>
                <w:lang w:val="en-US" w:eastAsia="zh-CN" w:bidi="ar"/>
              </w:rPr>
              <w:t xml:space="preserve"> IonPac AS20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产品规格</w:t>
            </w:r>
            <w:r>
              <w:rPr>
                <w:rFonts w:hint="eastAsia" w:ascii="宋体" w:hAnsi="宋体" w:eastAsia="宋体" w:cs="宋体"/>
                <w:i w:val="0"/>
                <w:iCs w:val="0"/>
                <w:color w:val="000000"/>
                <w:kern w:val="0"/>
                <w:sz w:val="22"/>
                <w:szCs w:val="22"/>
                <w:u w:val="none"/>
                <w:lang w:val="en-US" w:eastAsia="zh-CN" w:bidi="ar"/>
              </w:rPr>
              <w:t xml:space="preserve"> 标准孔</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长度（公制）</w:t>
            </w:r>
            <w:r>
              <w:rPr>
                <w:rFonts w:hint="eastAsia" w:ascii="宋体" w:hAnsi="宋体" w:eastAsia="宋体" w:cs="宋体"/>
                <w:i w:val="0"/>
                <w:iCs w:val="0"/>
                <w:color w:val="000000"/>
                <w:kern w:val="0"/>
                <w:sz w:val="22"/>
                <w:szCs w:val="22"/>
                <w:u w:val="none"/>
                <w:lang w:val="en-US" w:eastAsia="zh-CN" w:bidi="ar"/>
              </w:rPr>
              <w:t xml:space="preserve"> 50 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直径（公制）</w:t>
            </w:r>
            <w:r>
              <w:rPr>
                <w:rFonts w:hint="eastAsia" w:ascii="宋体" w:hAnsi="宋体" w:eastAsia="宋体" w:cs="宋体"/>
                <w:i w:val="0"/>
                <w:iCs w:val="0"/>
                <w:color w:val="000000"/>
                <w:kern w:val="0"/>
                <w:sz w:val="22"/>
                <w:szCs w:val="22"/>
                <w:u w:val="none"/>
                <w:lang w:val="en-US" w:eastAsia="zh-CN" w:bidi="ar"/>
              </w:rPr>
              <w:t xml:space="preserve"> 4 mm</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适配赛默飞离子色谱仪使用，需提供工程师免费上门安装服务</w:t>
            </w:r>
          </w:p>
        </w:tc>
        <w:tc>
          <w:tcPr>
            <w:tcW w:w="373" w:type="pct"/>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5"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2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赛默飞阴离子分析柱</w:t>
            </w:r>
          </w:p>
        </w:tc>
        <w:tc>
          <w:tcPr>
            <w:tcW w:w="5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 20 4*250mm</w:t>
            </w:r>
          </w:p>
        </w:tc>
        <w:tc>
          <w:tcPr>
            <w:tcW w:w="3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阴离子交换容量</w:t>
            </w:r>
            <w:r>
              <w:rPr>
                <w:rFonts w:hint="eastAsia" w:ascii="宋体" w:hAnsi="宋体" w:eastAsia="宋体" w:cs="宋体"/>
                <w:i w:val="0"/>
                <w:iCs w:val="0"/>
                <w:color w:val="000000"/>
                <w:kern w:val="0"/>
                <w:sz w:val="22"/>
                <w:szCs w:val="22"/>
                <w:u w:val="none"/>
                <w:lang w:val="en-US" w:eastAsia="zh-CN" w:bidi="ar"/>
              </w:rPr>
              <w:t xml:space="preserve"> 310 µeq</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色谱柱结构</w:t>
            </w:r>
            <w:r>
              <w:rPr>
                <w:rFonts w:hint="eastAsia" w:ascii="宋体" w:hAnsi="宋体" w:eastAsia="宋体" w:cs="宋体"/>
                <w:i w:val="0"/>
                <w:iCs w:val="0"/>
                <w:color w:val="000000"/>
                <w:kern w:val="0"/>
                <w:sz w:val="22"/>
                <w:szCs w:val="22"/>
                <w:u w:val="none"/>
                <w:lang w:val="en-US" w:eastAsia="zh-CN" w:bidi="ar"/>
              </w:rPr>
              <w:t xml:space="preserve"> PEEK</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色谱柱类型</w:t>
            </w:r>
            <w:r>
              <w:rPr>
                <w:rFonts w:hint="eastAsia" w:ascii="宋体" w:hAnsi="宋体" w:eastAsia="宋体" w:cs="宋体"/>
                <w:i w:val="0"/>
                <w:iCs w:val="0"/>
                <w:color w:val="000000"/>
                <w:kern w:val="0"/>
                <w:sz w:val="22"/>
                <w:szCs w:val="22"/>
                <w:u w:val="none"/>
                <w:lang w:val="en-US" w:eastAsia="zh-CN" w:bidi="ar"/>
              </w:rPr>
              <w:t xml:space="preserve"> 分析柱</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交联</w:t>
            </w:r>
            <w:r>
              <w:rPr>
                <w:rFonts w:hint="eastAsia" w:ascii="宋体" w:hAnsi="宋体" w:eastAsia="宋体" w:cs="宋体"/>
                <w:i w:val="0"/>
                <w:iCs w:val="0"/>
                <w:color w:val="000000"/>
                <w:kern w:val="0"/>
                <w:sz w:val="22"/>
                <w:szCs w:val="22"/>
                <w:u w:val="none"/>
                <w:lang w:val="en-US" w:eastAsia="zh-CN" w:bidi="ar"/>
              </w:rPr>
              <w:t xml:space="preserve"> 55% DVB</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认证/合规</w:t>
            </w:r>
            <w:r>
              <w:rPr>
                <w:rFonts w:hint="eastAsia" w:ascii="宋体" w:hAnsi="宋体" w:eastAsia="宋体" w:cs="宋体"/>
                <w:i w:val="0"/>
                <w:iCs w:val="0"/>
                <w:color w:val="000000"/>
                <w:kern w:val="0"/>
                <w:sz w:val="22"/>
                <w:szCs w:val="22"/>
                <w:u w:val="none"/>
                <w:lang w:val="en-US" w:eastAsia="zh-CN" w:bidi="ar"/>
              </w:rPr>
              <w:t xml:space="preserve"> 美国 EPA 方法 314.1（确证方法）</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色谱柱容量</w:t>
            </w:r>
            <w:r>
              <w:rPr>
                <w:rFonts w:hint="eastAsia" w:ascii="宋体" w:hAnsi="宋体" w:eastAsia="宋体" w:cs="宋体"/>
                <w:i w:val="0"/>
                <w:iCs w:val="0"/>
                <w:color w:val="000000"/>
                <w:kern w:val="0"/>
                <w:sz w:val="22"/>
                <w:szCs w:val="22"/>
                <w:u w:val="none"/>
                <w:lang w:val="en-US" w:eastAsia="zh-CN" w:bidi="ar"/>
              </w:rPr>
              <w:t xml:space="preserve"> 310 µeq</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色谱柱化学特性</w:t>
            </w:r>
            <w:r>
              <w:rPr>
                <w:rFonts w:hint="eastAsia" w:ascii="宋体" w:hAnsi="宋体" w:eastAsia="宋体" w:cs="宋体"/>
                <w:i w:val="0"/>
                <w:iCs w:val="0"/>
                <w:color w:val="000000"/>
                <w:kern w:val="0"/>
                <w:sz w:val="22"/>
                <w:szCs w:val="22"/>
                <w:u w:val="none"/>
                <w:lang w:val="en-US" w:eastAsia="zh-CN" w:bidi="ar"/>
              </w:rPr>
              <w:t xml:space="preserve"> 氢氧化物</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流速 </w:t>
            </w:r>
            <w:r>
              <w:rPr>
                <w:rFonts w:hint="eastAsia" w:ascii="宋体" w:hAnsi="宋体" w:eastAsia="宋体" w:cs="宋体"/>
                <w:i w:val="0"/>
                <w:iCs w:val="0"/>
                <w:color w:val="000000"/>
                <w:kern w:val="0"/>
                <w:sz w:val="22"/>
                <w:szCs w:val="22"/>
                <w:u w:val="none"/>
                <w:lang w:val="en-US" w:eastAsia="zh-CN" w:bidi="ar"/>
              </w:rPr>
              <w:t>1.0-2.0 mL/min.</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适用于（应用）</w:t>
            </w:r>
            <w:r>
              <w:rPr>
                <w:rFonts w:hint="eastAsia" w:ascii="宋体" w:hAnsi="宋体" w:eastAsia="宋体" w:cs="宋体"/>
                <w:i w:val="0"/>
                <w:iCs w:val="0"/>
                <w:color w:val="000000"/>
                <w:kern w:val="0"/>
                <w:sz w:val="22"/>
                <w:szCs w:val="22"/>
                <w:u w:val="none"/>
                <w:lang w:val="en-US" w:eastAsia="zh-CN" w:bidi="ar"/>
              </w:rPr>
              <w:t xml:space="preserve"> 阴离子交换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适用于（设备）</w:t>
            </w:r>
            <w:r>
              <w:rPr>
                <w:rFonts w:hint="eastAsia" w:ascii="宋体" w:hAnsi="宋体" w:eastAsia="宋体" w:cs="宋体"/>
                <w:i w:val="0"/>
                <w:iCs w:val="0"/>
                <w:color w:val="000000"/>
                <w:kern w:val="0"/>
                <w:sz w:val="22"/>
                <w:szCs w:val="22"/>
                <w:u w:val="none"/>
                <w:lang w:val="en-US" w:eastAsia="zh-CN" w:bidi="ar"/>
              </w:rPr>
              <w:t xml:space="preserve"> 免试剂离子色谱系统</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疏水性</w:t>
            </w:r>
            <w:r>
              <w:rPr>
                <w:rFonts w:hint="eastAsia" w:ascii="宋体" w:hAnsi="宋体" w:eastAsia="宋体" w:cs="宋体"/>
                <w:i w:val="0"/>
                <w:iCs w:val="0"/>
                <w:color w:val="000000"/>
                <w:kern w:val="0"/>
                <w:sz w:val="22"/>
                <w:szCs w:val="22"/>
                <w:u w:val="none"/>
                <w:lang w:val="en-US" w:eastAsia="zh-CN" w:bidi="ar"/>
              </w:rPr>
              <w:t xml:space="preserve"> 超低</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离子交换基</w:t>
            </w:r>
            <w:r>
              <w:rPr>
                <w:rFonts w:hint="eastAsia" w:ascii="宋体" w:hAnsi="宋体" w:eastAsia="宋体" w:cs="宋体"/>
                <w:i w:val="0"/>
                <w:iCs w:val="0"/>
                <w:color w:val="000000"/>
                <w:kern w:val="0"/>
                <w:sz w:val="22"/>
                <w:szCs w:val="22"/>
                <w:u w:val="none"/>
                <w:lang w:val="en-US" w:eastAsia="zh-CN" w:bidi="ar"/>
              </w:rPr>
              <w:t xml:space="preserve"> 烷醇季铵离子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最大压力</w:t>
            </w:r>
            <w:r>
              <w:rPr>
                <w:rFonts w:hint="eastAsia" w:ascii="宋体" w:hAnsi="宋体" w:eastAsia="宋体" w:cs="宋体"/>
                <w:i w:val="0"/>
                <w:iCs w:val="0"/>
                <w:color w:val="000000"/>
                <w:kern w:val="0"/>
                <w:sz w:val="22"/>
                <w:szCs w:val="22"/>
                <w:u w:val="none"/>
                <w:lang w:val="en-US" w:eastAsia="zh-CN" w:bidi="ar"/>
              </w:rPr>
              <w:t xml:space="preserve"> 4000 psi (275 bar)</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溶剂相容性</w:t>
            </w:r>
            <w:r>
              <w:rPr>
                <w:rFonts w:hint="eastAsia" w:ascii="宋体" w:hAnsi="宋体" w:eastAsia="宋体" w:cs="宋体"/>
                <w:i w:val="0"/>
                <w:iCs w:val="0"/>
                <w:color w:val="000000"/>
                <w:kern w:val="0"/>
                <w:sz w:val="22"/>
                <w:szCs w:val="22"/>
                <w:u w:val="none"/>
                <w:lang w:val="en-US" w:eastAsia="zh-CN" w:bidi="ar"/>
              </w:rPr>
              <w:t xml:space="preserve"> pH 0 至 14，0 至 100% HPLC 溶剂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粒径</w:t>
            </w:r>
            <w:r>
              <w:rPr>
                <w:rFonts w:hint="eastAsia" w:ascii="宋体" w:hAnsi="宋体" w:eastAsia="宋体" w:cs="宋体"/>
                <w:i w:val="0"/>
                <w:iCs w:val="0"/>
                <w:color w:val="000000"/>
                <w:kern w:val="0"/>
                <w:sz w:val="22"/>
                <w:szCs w:val="22"/>
                <w:u w:val="none"/>
                <w:lang w:val="en-US" w:eastAsia="zh-CN" w:bidi="ar"/>
              </w:rPr>
              <w:t xml:space="preserve"> 7.5 µm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固定相</w:t>
            </w:r>
            <w:r>
              <w:rPr>
                <w:rFonts w:hint="eastAsia" w:ascii="宋体" w:hAnsi="宋体" w:eastAsia="宋体" w:cs="宋体"/>
                <w:i w:val="0"/>
                <w:iCs w:val="0"/>
                <w:color w:val="000000"/>
                <w:kern w:val="0"/>
                <w:sz w:val="22"/>
                <w:szCs w:val="22"/>
                <w:u w:val="none"/>
                <w:lang w:val="en-US" w:eastAsia="zh-CN" w:bidi="ar"/>
              </w:rPr>
              <w:t xml:space="preserve"> IonPac AS20</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产品规格</w:t>
            </w:r>
            <w:r>
              <w:rPr>
                <w:rFonts w:hint="eastAsia" w:ascii="宋体" w:hAnsi="宋体" w:eastAsia="宋体" w:cs="宋体"/>
                <w:i w:val="0"/>
                <w:iCs w:val="0"/>
                <w:color w:val="000000"/>
                <w:kern w:val="0"/>
                <w:sz w:val="22"/>
                <w:szCs w:val="22"/>
                <w:u w:val="none"/>
                <w:lang w:val="en-US" w:eastAsia="zh-CN" w:bidi="ar"/>
              </w:rPr>
              <w:t xml:space="preserve"> 标准孔</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包装材料</w:t>
            </w:r>
            <w:r>
              <w:rPr>
                <w:rFonts w:hint="eastAsia" w:ascii="宋体" w:hAnsi="宋体" w:eastAsia="宋体" w:cs="宋体"/>
                <w:i w:val="0"/>
                <w:iCs w:val="0"/>
                <w:color w:val="000000"/>
                <w:kern w:val="0"/>
                <w:sz w:val="22"/>
                <w:szCs w:val="22"/>
                <w:u w:val="none"/>
                <w:lang w:val="en-US" w:eastAsia="zh-CN" w:bidi="ar"/>
              </w:rPr>
              <w:t xml:space="preserve"> 聚合物</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长度（公制</w:t>
            </w:r>
            <w:r>
              <w:rPr>
                <w:rFonts w:hint="eastAsia" w:ascii="宋体" w:hAnsi="宋体" w:eastAsia="宋体" w:cs="宋体"/>
                <w:i w:val="0"/>
                <w:iCs w:val="0"/>
                <w:color w:val="000000"/>
                <w:kern w:val="0"/>
                <w:sz w:val="22"/>
                <w:szCs w:val="22"/>
                <w:u w:val="none"/>
                <w:lang w:val="en-US" w:eastAsia="zh-CN" w:bidi="ar"/>
              </w:rPr>
              <w:t>） 250 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直径（公制）</w:t>
            </w:r>
            <w:r>
              <w:rPr>
                <w:rFonts w:hint="eastAsia" w:ascii="宋体" w:hAnsi="宋体" w:eastAsia="宋体" w:cs="宋体"/>
                <w:i w:val="0"/>
                <w:iCs w:val="0"/>
                <w:color w:val="000000"/>
                <w:kern w:val="0"/>
                <w:sz w:val="22"/>
                <w:szCs w:val="22"/>
                <w:u w:val="none"/>
                <w:lang w:val="en-US" w:eastAsia="zh-CN" w:bidi="ar"/>
              </w:rPr>
              <w:t xml:space="preserve"> 4 mm</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适配赛默飞离子色谱仪使用，需提供工程师免费上门安装服务</w:t>
            </w:r>
          </w:p>
        </w:tc>
        <w:tc>
          <w:tcPr>
            <w:tcW w:w="373"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82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c>
          <w:tcPr>
            <w:tcW w:w="417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3.供货及时、充足，所有货物须送货上门安装，所有相关的运输费用由供方负责承担。</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Times New Roman"/>
                <w:b/>
                <w:bCs/>
                <w:sz w:val="22"/>
                <w:szCs w:val="22"/>
                <w:lang w:val="en-US" w:eastAsia="zh-CN"/>
              </w:rPr>
              <w:t>4.以上产品技术要求必须全部满足，需提供技术证明文件之一（第三方检测报告、产品技术白皮书、产品使用说明书及产品彩页）予以证明所提供的产品符合以上技术要求。</w:t>
            </w:r>
          </w:p>
        </w:tc>
      </w:tr>
    </w:tbl>
    <w:p>
      <w:pPr>
        <w:pStyle w:val="5"/>
        <w:rPr>
          <w:rFonts w:hint="eastAsia" w:ascii="黑体" w:hAnsi="黑体" w:eastAsia="黑体" w:cs="黑体"/>
          <w:b w:val="0"/>
          <w:bCs w:val="0"/>
          <w:sz w:val="24"/>
          <w:szCs w:val="24"/>
          <w:lang w:eastAsia="zh-CN"/>
        </w:rPr>
      </w:pPr>
    </w:p>
    <w:p>
      <w:pPr>
        <w:pStyle w:val="5"/>
        <w:rPr>
          <w:rFonts w:hint="eastAsia" w:ascii="黑体" w:hAnsi="黑体" w:eastAsia="黑体" w:cs="黑体"/>
          <w:b w:val="0"/>
          <w:bCs w:val="0"/>
          <w:sz w:val="24"/>
          <w:szCs w:val="24"/>
          <w:lang w:eastAsia="zh-CN"/>
        </w:rPr>
      </w:pPr>
    </w:p>
    <w:p>
      <w:pPr>
        <w:pStyle w:val="5"/>
        <w:rPr>
          <w:rFonts w:hint="eastAsia" w:ascii="黑体" w:hAnsi="黑体" w:eastAsia="黑体" w:cs="黑体"/>
          <w:b w:val="0"/>
          <w:bCs w:val="0"/>
          <w:sz w:val="24"/>
          <w:szCs w:val="24"/>
          <w:lang w:eastAsia="zh-CN"/>
        </w:rPr>
      </w:pPr>
    </w:p>
    <w:p>
      <w:pPr>
        <w:pStyle w:val="12"/>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sz w:val="24"/>
          <w:szCs w:val="24"/>
          <w:lang w:val="zh-CN" w:eastAsia="zh-CN"/>
        </w:rPr>
      </w:pPr>
      <w:r>
        <w:rPr>
          <w:rFonts w:hint="eastAsia" w:ascii="Times New Roman" w:hAnsi="Times New Roman" w:eastAsia="黑体" w:cs="Times New Roman"/>
          <w:sz w:val="24"/>
          <w:szCs w:val="24"/>
          <w:lang w:val="zh-CN" w:eastAsia="zh-CN"/>
        </w:rPr>
        <w:t>二、</w:t>
      </w:r>
      <w:r>
        <w:rPr>
          <w:rFonts w:hint="eastAsia" w:ascii="Times New Roman" w:hAnsi="Times New Roman" w:eastAsia="黑体"/>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10个日历天内完成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28DA07B2"/>
    <w:multiLevelType w:val="singleLevel"/>
    <w:tmpl w:val="28DA07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7AAD5186"/>
    <w:rsid w:val="7AAD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character" w:customStyle="1" w:styleId="11">
    <w:name w:val="font71"/>
    <w:basedOn w:val="10"/>
    <w:qFormat/>
    <w:uiPriority w:val="0"/>
    <w:rPr>
      <w:rFonts w:ascii="Calibri" w:hAnsi="Calibri" w:cs="Calibri"/>
      <w:color w:val="000000"/>
      <w:sz w:val="22"/>
      <w:szCs w:val="22"/>
      <w:u w:val="none"/>
    </w:rPr>
  </w:style>
  <w:style w:type="paragraph" w:customStyle="1" w:styleId="12">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2022-12-06T02:43:00Z</dcterms:created>
  <dc:creator>Administrator</dc:creator>
  <cp:lastModifiedBy>Administrator</cp:lastModifiedBy>
  <dcterms:modified xsi:type="dcterms:W3CDTF">2022-12-06T02:46:25Z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4FD0BA3A469544E18CDF574DE83BEA1E</vt:lpwstr>
  </property>
</Properties>
</file>