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_GBK" w:hAnsi="方正小标宋_GBK" w:eastAsia="方正小标宋_GBK" w:cs="方正小标宋_GBK"/>
          <w:b w:val="0"/>
          <w:bCs w:val="0"/>
          <w:sz w:val="32"/>
          <w:szCs w:val="32"/>
          <w:lang w:eastAsia="zh-CN"/>
        </w:rPr>
      </w:pPr>
      <w:bookmarkStart w:id="0" w:name="_GoBack"/>
      <w:r>
        <w:rPr>
          <w:rFonts w:hint="eastAsia" w:ascii="方正小标宋_GBK" w:hAnsi="方正小标宋_GBK" w:eastAsia="方正小标宋_GBK" w:cs="方正小标宋_GBK"/>
          <w:b w:val="0"/>
          <w:bCs w:val="0"/>
          <w:sz w:val="32"/>
          <w:szCs w:val="32"/>
          <w:lang w:eastAsia="zh-CN"/>
        </w:rPr>
        <w:t>附件：安庆市疾病预防控制中心疫苗冷库及疫苗冷链设备科学验证及校准服务</w:t>
      </w:r>
      <w:r>
        <w:rPr>
          <w:rFonts w:hint="eastAsia" w:ascii="方正小标宋_GBK" w:hAnsi="方正小标宋_GBK" w:eastAsia="方正小标宋_GBK" w:cs="方正小标宋_GBK"/>
          <w:b w:val="0"/>
          <w:bCs w:val="0"/>
          <w:sz w:val="32"/>
          <w:szCs w:val="32"/>
          <w:lang w:val="en-US" w:eastAsia="zh-CN"/>
        </w:rPr>
        <w:t>采购项目</w:t>
      </w:r>
      <w:r>
        <w:rPr>
          <w:rFonts w:hint="eastAsia" w:ascii="方正小标宋_GBK" w:hAnsi="方正小标宋_GBK" w:eastAsia="方正小标宋_GBK" w:cs="方正小标宋_GBK"/>
          <w:b w:val="0"/>
          <w:bCs w:val="0"/>
          <w:sz w:val="32"/>
          <w:szCs w:val="32"/>
          <w:lang w:eastAsia="zh-CN"/>
        </w:rPr>
        <w:t>采购</w:t>
      </w:r>
      <w:r>
        <w:rPr>
          <w:rFonts w:hint="eastAsia" w:ascii="方正小标宋_GBK" w:hAnsi="方正小标宋_GBK" w:eastAsia="方正小标宋_GBK" w:cs="方正小标宋_GBK"/>
          <w:b w:val="0"/>
          <w:bCs w:val="0"/>
          <w:sz w:val="32"/>
          <w:szCs w:val="32"/>
          <w:lang w:eastAsia="zh-CN"/>
        </w:rPr>
        <w:t>项目需求及技术要求</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szCs w:val="24"/>
          <w:lang w:eastAsia="zh-CN"/>
        </w:rPr>
      </w:pPr>
      <w:r>
        <w:rPr>
          <w:rFonts w:hint="eastAsia" w:ascii="黑体" w:hAnsi="黑体" w:eastAsia="黑体" w:cs="黑体"/>
          <w:b w:val="0"/>
          <w:bCs w:val="0"/>
          <w:sz w:val="24"/>
          <w:szCs w:val="24"/>
          <w:lang w:eastAsia="zh-CN"/>
        </w:rPr>
        <w:t>采购需求一览表及技术要求</w:t>
      </w:r>
    </w:p>
    <w:tbl>
      <w:tblPr>
        <w:tblStyle w:val="9"/>
        <w:tblW w:w="9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40"/>
        <w:gridCol w:w="7438"/>
        <w:gridCol w:w="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Times New Roman"/>
                <w:b/>
                <w:bCs/>
                <w:color w:val="000000"/>
                <w:kern w:val="2"/>
                <w:sz w:val="24"/>
                <w:szCs w:val="24"/>
                <w:lang w:val="en-US" w:eastAsia="zh-CN" w:bidi="ar-SA"/>
              </w:rPr>
            </w:pPr>
            <w:r>
              <w:rPr>
                <w:rStyle w:val="11"/>
                <w:rFonts w:ascii="宋体" w:hAnsi="宋体" w:eastAsia="Calibri"/>
                <w:b/>
                <w:bCs/>
                <w:color w:val="000000"/>
                <w:kern w:val="2"/>
                <w:sz w:val="24"/>
                <w:szCs w:val="24"/>
                <w:lang w:val="en-US" w:eastAsia="zh-CN" w:bidi="ar-SA"/>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3" w:leftChars="43"/>
              <w:jc w:val="center"/>
              <w:textAlignment w:val="baseline"/>
              <w:rPr>
                <w:rFonts w:ascii="宋体" w:hAnsi="宋体" w:eastAsia="Calibri" w:cs="Times New Roman"/>
                <w:b/>
                <w:bCs/>
                <w:color w:val="000000"/>
                <w:kern w:val="2"/>
                <w:sz w:val="24"/>
                <w:szCs w:val="24"/>
                <w:lang w:val="en-US" w:eastAsia="zh-CN" w:bidi="ar-SA"/>
              </w:rPr>
            </w:pPr>
            <w:r>
              <w:rPr>
                <w:rStyle w:val="11"/>
                <w:rFonts w:ascii="宋体" w:hAnsi="宋体" w:eastAsia="Calibri"/>
                <w:b/>
                <w:bCs/>
                <w:color w:val="000000"/>
                <w:kern w:val="2"/>
                <w:sz w:val="24"/>
                <w:szCs w:val="24"/>
                <w:lang w:val="en-US" w:eastAsia="zh-CN" w:bidi="ar-SA"/>
              </w:rPr>
              <w:t>项目</w:t>
            </w:r>
          </w:p>
        </w:tc>
        <w:tc>
          <w:tcPr>
            <w:tcW w:w="74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Times New Roman"/>
                <w:color w:val="000000"/>
                <w:kern w:val="2"/>
                <w:sz w:val="24"/>
                <w:szCs w:val="24"/>
                <w:lang w:val="en-US" w:eastAsia="zh-CN" w:bidi="ar-SA"/>
              </w:rPr>
            </w:pPr>
            <w:r>
              <w:rPr>
                <w:rFonts w:hint="eastAsia" w:ascii="宋体" w:hAnsi="宋体" w:eastAsia="Calibri" w:cs="Times New Roman"/>
                <w:b/>
                <w:bCs/>
                <w:color w:val="000000"/>
                <w:kern w:val="2"/>
                <w:sz w:val="24"/>
                <w:szCs w:val="24"/>
                <w:lang w:val="en-US" w:eastAsia="zh-CN" w:bidi="ar-SA"/>
              </w:rPr>
              <w:t>技术要求</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宋体"/>
                <w:b/>
                <w:bCs/>
                <w:kern w:val="2"/>
                <w:sz w:val="24"/>
                <w:szCs w:val="20"/>
                <w:lang w:val="en-US" w:eastAsia="zh-CN" w:bidi="ar-SA"/>
              </w:rPr>
            </w:pPr>
            <w:r>
              <w:rPr>
                <w:rStyle w:val="11"/>
                <w:rFonts w:hint="eastAsia" w:ascii="宋体" w:hAnsi="宋体" w:eastAsia="Calibri" w:cs="宋体"/>
                <w:b/>
                <w:bCs/>
                <w:kern w:val="2"/>
                <w:sz w:val="24"/>
                <w:szCs w:val="20"/>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6" w:hRule="atLeast"/>
        </w:trPr>
        <w:tc>
          <w:tcPr>
            <w:tcW w:w="630" w:type="dxa"/>
            <w:tcBorders>
              <w:left w:val="single" w:color="000000" w:sz="4" w:space="0"/>
              <w:right w:val="single" w:color="000000" w:sz="4" w:space="0"/>
            </w:tcBorders>
            <w:noWrap w:val="0"/>
            <w:vAlign w:val="center"/>
          </w:tcPr>
          <w:p>
            <w:pPr>
              <w:pStyle w:val="12"/>
              <w:ind w:firstLine="0" w:firstLineChars="0"/>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1140" w:type="dxa"/>
            <w:tcBorders>
              <w:left w:val="single" w:color="000000" w:sz="4" w:space="0"/>
              <w:right w:val="single" w:color="000000" w:sz="4" w:space="0"/>
            </w:tcBorders>
            <w:noWrap w:val="0"/>
            <w:vAlign w:val="center"/>
          </w:tcPr>
          <w:p>
            <w:pPr>
              <w:pStyle w:val="12"/>
              <w:ind w:firstLine="0" w:firstLineChars="0"/>
              <w:jc w:val="center"/>
              <w:rPr>
                <w:rFonts w:hint="default" w:ascii="Times New Roman" w:hAnsi="宋体" w:eastAsia="宋体" w:cs="宋体"/>
                <w:kern w:val="0"/>
                <w:sz w:val="24"/>
                <w:szCs w:val="24"/>
                <w:lang w:val="en-US" w:eastAsia="zh-CN" w:bidi="ar-SA"/>
              </w:rPr>
            </w:pPr>
            <w:r>
              <w:rPr>
                <w:rFonts w:hint="eastAsia" w:ascii="仿宋" w:hAnsi="仿宋" w:eastAsia="仿宋" w:cs="Times New Roman"/>
                <w:b/>
                <w:bCs/>
                <w:kern w:val="0"/>
                <w:sz w:val="22"/>
                <w:szCs w:val="22"/>
                <w:lang w:val="en-US" w:eastAsia="zh-CN" w:bidi="ar-SA"/>
              </w:rPr>
              <w:t>冷库、冷藏车、保温箱验证服务</w:t>
            </w:r>
          </w:p>
        </w:tc>
        <w:tc>
          <w:tcPr>
            <w:tcW w:w="743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验证项目按附录《验证管理》规定包含以下内容：</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一、冷库</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1.温度分布特性的测试与分析，确定适宜药品存放的安全位置及区域；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2.温控设备运行参数及使用状况测试；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3.监测系统配置的测点终端参数及安装位置确认；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4.开门作业对库房温度分布及药品储存的影响；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5.确定设备故障或外部供电中断的状况下，库房保温性能及变化趋势分析；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6.对本地区的高温或低温等极端外部环境条件，分别进行保温效果评估；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7.在新建库房初次使用前或改造后重新使用前，进行空载及满载验证；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8.年度定期验证时，进行满载验证。</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二、冷藏车</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1.温度分布特性的测试与分析，确定适宜药品存放的安全位置及区域；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2.温控设备运行参数及使用状况测试；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3.监测系统配置的测点终端参数及安装位置确认；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4.开门作业对车辆温度分布及药品储存的影响；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5.确定设备故障或外部供电中断的状况下，车辆保温性能及变化趋势分析；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6.对本地区的高温或低温等极端外部环境条件，分别进行保温效果评估；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7.年度定期验证时，进行满载验证。</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三、保温箱</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1.箱内温度分布特性的测试与分析，分析箱体内温度变化及趋势；</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2.蓄冷剂配备使用的条件测试；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3.温度自动监测设备放置位置确认；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4.开箱作业对箱内温度分布及变化的影响；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5.高温或低温等极端外部环境条件下的保温效果评估；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default" w:ascii="宋体" w:hAnsi="宋体"/>
                <w:sz w:val="24"/>
                <w:szCs w:val="24"/>
                <w:highlight w:val="none"/>
                <w:lang w:val="en-US" w:eastAsia="zh-CN"/>
              </w:rPr>
            </w:pPr>
            <w:r>
              <w:rPr>
                <w:rFonts w:hint="eastAsia" w:ascii="仿宋" w:hAnsi="仿宋" w:eastAsia="仿宋" w:cs="Times New Roman"/>
                <w:sz w:val="22"/>
                <w:szCs w:val="22"/>
                <w:lang w:val="en-US" w:eastAsia="zh-CN"/>
              </w:rPr>
              <w:t xml:space="preserve">6.运输最长时限验证。 </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left="120" w:leftChars="50"/>
              <w:jc w:val="both"/>
              <w:textAlignment w:val="baseline"/>
              <w:rPr>
                <w:rStyle w:val="11"/>
                <w:rFonts w:ascii="宋体" w:hAnsi="宋体" w:eastAsia="Calibri"/>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6" w:hRule="atLeast"/>
        </w:trPr>
        <w:tc>
          <w:tcPr>
            <w:tcW w:w="1770" w:type="dxa"/>
            <w:gridSpan w:val="2"/>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说明</w:t>
            </w:r>
          </w:p>
        </w:tc>
        <w:tc>
          <w:tcPr>
            <w:tcW w:w="8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1.报价方须对所报价包内所有服务内容进行报价，否则视为无效报价。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2.以上技术要求必须全部满足，提供承诺函，格式自拟。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lang w:val="en-US" w:eastAsia="zh-CN"/>
              </w:rPr>
            </w:pPr>
            <w:r>
              <w:rPr>
                <w:rFonts w:hint="eastAsia" w:ascii="仿宋" w:hAnsi="仿宋" w:eastAsia="仿宋" w:cs="Times New Roman"/>
                <w:sz w:val="22"/>
                <w:szCs w:val="22"/>
                <w:lang w:val="en-US" w:eastAsia="zh-CN"/>
              </w:rPr>
              <w:t>3.</w:t>
            </w:r>
            <w:r>
              <w:rPr>
                <w:rFonts w:hint="eastAsia" w:ascii="仿宋" w:hAnsi="仿宋" w:eastAsia="仿宋" w:cs="Times New Roman"/>
                <w:b/>
                <w:bCs/>
                <w:sz w:val="22"/>
                <w:szCs w:val="22"/>
                <w:lang w:val="en-US" w:eastAsia="zh-CN"/>
              </w:rPr>
              <w:t>科学验证及校准服务必须出具加盖公章的验证及校准报告，否则按无效响应处理。（须提供承诺函，格式自拟）</w:t>
            </w:r>
          </w:p>
        </w:tc>
      </w:tr>
    </w:tbl>
    <w:p>
      <w:pPr>
        <w:pStyle w:val="13"/>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二、商务要求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（二）服务地点：安庆市境内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b/>
          <w:bCs/>
          <w:lang w:eastAsia="zh-CN"/>
        </w:rPr>
        <w:t>验证校准服务完成后，免费质保</w:t>
      </w:r>
      <w:r>
        <w:rPr>
          <w:rFonts w:hint="eastAsia" w:ascii="仿宋" w:hAnsi="仿宋" w:eastAsia="仿宋" w:cs="仿宋"/>
          <w:b/>
          <w:bCs/>
          <w:lang w:val="en-US" w:eastAsia="zh-CN"/>
        </w:rPr>
        <w:t>1年</w:t>
      </w:r>
      <w:r>
        <w:rPr>
          <w:rFonts w:hint="eastAsia" w:ascii="仿宋" w:hAnsi="仿宋" w:eastAsia="仿宋" w:cs="仿宋"/>
        </w:rPr>
        <w:t>。招标文件另有约定的从其约定</w:t>
      </w:r>
      <w:r>
        <w:rPr>
          <w:rFonts w:hint="eastAsia" w:ascii="仿宋" w:hAnsi="仿宋" w:eastAsia="仿宋" w:cs="仿宋"/>
          <w:lang w:eastAsia="zh-CN"/>
        </w:rPr>
        <w:t>，</w:t>
      </w:r>
      <w:r>
        <w:rPr>
          <w:rFonts w:hint="eastAsia" w:ascii="仿宋" w:hAnsi="仿宋" w:eastAsia="仿宋" w:cs="仿宋"/>
        </w:rPr>
        <w:t>质保期从验收合格</w:t>
      </w:r>
      <w:r>
        <w:rPr>
          <w:rFonts w:hint="eastAsia" w:ascii="仿宋" w:hAnsi="仿宋" w:eastAsia="仿宋" w:cs="仿宋"/>
          <w:lang w:eastAsia="zh-CN"/>
        </w:rPr>
        <w:t>之日</w:t>
      </w:r>
      <w:r>
        <w:rPr>
          <w:rFonts w:hint="eastAsia" w:ascii="仿宋" w:hAnsi="仿宋" w:eastAsia="仿宋" w:cs="仿宋"/>
        </w:rPr>
        <w:t>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2.服务要求：</w:t>
      </w:r>
      <w:r>
        <w:rPr>
          <w:rFonts w:hint="eastAsia" w:ascii="仿宋" w:hAnsi="仿宋" w:eastAsia="仿宋" w:cs="仿宋"/>
          <w:snapToGrid w:val="0"/>
          <w:lang w:val="en-US" w:eastAsia="zh-CN"/>
        </w:rPr>
        <w:t>供应商成交以后，成交供应商应根据采购人的要求及时完成服务，否则，采购人有权解除合同，由此造成的全部损失，由成交供应商全部承担。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报价方对提供的服务在质保期内，因质量而导致的缺陷，必须免费提供相关服务。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款项。</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五</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07B2"/>
    <w:multiLevelType w:val="singleLevel"/>
    <w:tmpl w:val="28DA07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708F168C"/>
    <w:rsid w:val="708F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8"/>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toc 6"/>
    <w:basedOn w:val="1"/>
    <w:next w:val="1"/>
    <w:qFormat/>
    <w:uiPriority w:val="0"/>
    <w:pPr>
      <w:ind w:left="1050"/>
      <w:jc w:val="left"/>
    </w:pPr>
    <w:rPr>
      <w:rFonts w:ascii="Calibri" w:hAnsi="Calibri" w:eastAsia="宋体" w:cs="Times New Roman"/>
      <w:sz w:val="18"/>
      <w:szCs w:val="18"/>
    </w:rPr>
  </w:style>
  <w:style w:type="character" w:customStyle="1" w:styleId="11">
    <w:name w:val="NormalCharacter"/>
    <w:semiHidden/>
    <w:qFormat/>
    <w:uiPriority w:val="0"/>
    <w:rPr>
      <w:sz w:val="24"/>
      <w:szCs w:val="24"/>
      <w:lang w:val="en-US" w:eastAsia="zh-CN" w:bidi="ar-SA"/>
    </w:rPr>
  </w:style>
  <w:style w:type="paragraph" w:customStyle="1" w:styleId="12">
    <w:name w:val="Normal Indent"/>
    <w:basedOn w:val="1"/>
    <w:qFormat/>
    <w:uiPriority w:val="0"/>
    <w:pPr>
      <w:widowControl/>
      <w:ind w:firstLine="420"/>
      <w:jc w:val="left"/>
    </w:pPr>
    <w:rPr>
      <w:rFonts w:ascii="Times New Roman" w:hAnsi="Times New Roman"/>
      <w:kern w:val="0"/>
      <w:szCs w:val="20"/>
    </w:rPr>
  </w:style>
  <w:style w:type="paragraph" w:customStyle="1" w:styleId="13">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2022-12-07T07:52:00Z</dcterms:created>
  <dc:creator>Administrator</dc:creator>
  <cp:lastModifiedBy>Administrator</cp:lastModifiedBy>
  <dcterms:modified xsi:type="dcterms:W3CDTF">2022-12-07T07:54:16Z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4162F7F3804D43A78E90F4FE43425DAB</vt:lpwstr>
  </property>
</Properties>
</file>