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both"/>
        <w:outlineLvl w:val="0"/>
        <w:rPr>
          <w:rFonts w:hint="eastAsia" w:hAnsi="宋体"/>
          <w:b/>
          <w:color w:val="000000"/>
          <w:szCs w:val="24"/>
        </w:rPr>
      </w:pPr>
      <w:bookmarkStart w:id="2" w:name="_GoBack"/>
      <w:r>
        <w:rPr>
          <w:rFonts w:hint="eastAsia" w:hAnsi="宋体" w:cs="宋体"/>
          <w:b/>
          <w:color w:val="000000"/>
          <w:sz w:val="32"/>
          <w:szCs w:val="32"/>
          <w:lang w:val="zh-CN" w:eastAsia="zh-CN"/>
        </w:rPr>
        <w:t>附件：</w:t>
      </w:r>
      <w:r>
        <w:rPr>
          <w:rFonts w:hint="eastAsia" w:hAnsi="宋体" w:cs="宋体"/>
          <w:b/>
          <w:color w:val="000000"/>
          <w:sz w:val="32"/>
          <w:szCs w:val="32"/>
          <w:lang w:val="zh-CN"/>
        </w:rPr>
        <w:t>采购项目服务需求及技术要求</w:t>
      </w:r>
    </w:p>
    <w:bookmarkEnd w:id="2"/>
    <w:p>
      <w:pPr>
        <w:pStyle w:val="5"/>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Cs w:val="24"/>
        </w:rPr>
      </w:pPr>
      <w:r>
        <w:rPr>
          <w:rFonts w:hint="eastAsia" w:ascii="仿宋" w:hAnsi="仿宋" w:eastAsia="仿宋" w:cs="仿宋"/>
          <w:b/>
          <w:bCs/>
          <w:szCs w:val="24"/>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5"/>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cs="仿宋"/>
          <w:b/>
          <w:bCs/>
          <w:szCs w:val="24"/>
        </w:rPr>
      </w:pPr>
      <w:r>
        <w:rPr>
          <w:rFonts w:hint="eastAsia" w:ascii="仿宋" w:hAnsi="仿宋" w:eastAsia="仿宋" w:cs="仿宋"/>
          <w:b/>
          <w:bCs/>
          <w:szCs w:val="24"/>
        </w:rPr>
        <w:t>1.成交人提供的货物为进口产品的，供货时须向采购人提供所投进口产品的海关报关单等证明材料。</w:t>
      </w:r>
      <w:bookmarkStart w:id="0" w:name="_Toc24273"/>
    </w:p>
    <w:p>
      <w:pPr>
        <w:pStyle w:val="5"/>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仿宋" w:hAnsi="仿宋" w:eastAsia="仿宋" w:cs="仿宋"/>
          <w:b/>
          <w:bCs/>
          <w:szCs w:val="24"/>
          <w:lang w:val="en-US" w:eastAsia="zh-CN"/>
        </w:rPr>
      </w:pPr>
      <w:r>
        <w:rPr>
          <w:rFonts w:hint="eastAsia" w:ascii="仿宋" w:hAnsi="仿宋" w:eastAsia="仿宋" w:cs="仿宋"/>
          <w:b/>
          <w:bCs/>
          <w:szCs w:val="24"/>
        </w:rPr>
        <w:t>2.原装进口的产品，如国内产品满足需求也可参与采购竞争。</w:t>
      </w:r>
    </w:p>
    <w:bookmarkEnd w:id="0"/>
    <w:p>
      <w:pPr>
        <w:pStyle w:val="8"/>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1"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tbl>
      <w:tblPr>
        <w:tblStyle w:val="6"/>
        <w:tblW w:w="49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4"/>
        <w:gridCol w:w="1902"/>
        <w:gridCol w:w="675"/>
        <w:gridCol w:w="796"/>
        <w:gridCol w:w="4797"/>
        <w:gridCol w:w="1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286" w:type="pct"/>
            <w:tcBorders>
              <w:top w:val="nil"/>
              <w:left w:val="nil"/>
              <w:bottom w:val="nil"/>
              <w:right w:val="nil"/>
            </w:tcBorders>
            <w:shd w:val="clear" w:color="auto" w:fill="auto"/>
            <w:noWrap/>
            <w:vAlign w:val="center"/>
          </w:tcPr>
          <w:p>
            <w:pPr>
              <w:jc w:val="center"/>
              <w:rPr>
                <w:rFonts w:hint="eastAsia" w:ascii="Arial" w:hAnsi="Arial" w:eastAsia="等线" w:cs="Arial"/>
                <w:b/>
                <w:bCs/>
                <w:i w:val="0"/>
                <w:iCs w:val="0"/>
                <w:color w:val="000000"/>
                <w:sz w:val="16"/>
                <w:szCs w:val="16"/>
                <w:u w:val="none"/>
                <w:lang w:val="en-US" w:eastAsia="zh-CN"/>
              </w:rPr>
            </w:pPr>
            <w:r>
              <w:rPr>
                <w:rFonts w:hint="eastAsia" w:ascii="Arial" w:hAnsi="Arial" w:eastAsia="等线" w:cs="Arial"/>
                <w:b/>
                <w:bCs/>
                <w:i w:val="0"/>
                <w:iCs w:val="0"/>
                <w:color w:val="000000"/>
                <w:sz w:val="16"/>
                <w:szCs w:val="16"/>
                <w:u w:val="none"/>
                <w:lang w:val="en-US" w:eastAsia="zh-CN"/>
              </w:rPr>
              <w:t>包号</w:t>
            </w:r>
          </w:p>
        </w:tc>
        <w:tc>
          <w:tcPr>
            <w:tcW w:w="966"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333333"/>
                <w:sz w:val="16"/>
                <w:szCs w:val="16"/>
                <w:u w:val="none"/>
              </w:rPr>
            </w:pPr>
            <w:r>
              <w:rPr>
                <w:rFonts w:hint="eastAsia" w:ascii="微软雅黑" w:hAnsi="微软雅黑" w:eastAsia="微软雅黑" w:cs="微软雅黑"/>
                <w:b/>
                <w:bCs/>
                <w:i w:val="0"/>
                <w:iCs w:val="0"/>
                <w:color w:val="333333"/>
                <w:kern w:val="0"/>
                <w:sz w:val="16"/>
                <w:szCs w:val="16"/>
                <w:u w:val="none"/>
                <w:lang w:val="en-US" w:eastAsia="zh-CN" w:bidi="ar"/>
              </w:rPr>
              <w:t>名称</w:t>
            </w:r>
          </w:p>
        </w:tc>
        <w:tc>
          <w:tcPr>
            <w:tcW w:w="343"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333333"/>
                <w:sz w:val="16"/>
                <w:szCs w:val="16"/>
                <w:u w:val="none"/>
              </w:rPr>
            </w:pPr>
            <w:r>
              <w:rPr>
                <w:rFonts w:hint="eastAsia" w:ascii="微软雅黑" w:hAnsi="微软雅黑" w:eastAsia="微软雅黑" w:cs="微软雅黑"/>
                <w:b/>
                <w:bCs/>
                <w:i w:val="0"/>
                <w:iCs w:val="0"/>
                <w:color w:val="333333"/>
                <w:kern w:val="0"/>
                <w:sz w:val="16"/>
                <w:szCs w:val="16"/>
                <w:u w:val="none"/>
                <w:lang w:val="en-US" w:eastAsia="zh-CN" w:bidi="ar"/>
              </w:rPr>
              <w:t>单位</w:t>
            </w:r>
          </w:p>
        </w:tc>
        <w:tc>
          <w:tcPr>
            <w:tcW w:w="404"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333333"/>
                <w:sz w:val="16"/>
                <w:szCs w:val="16"/>
                <w:u w:val="none"/>
              </w:rPr>
            </w:pPr>
            <w:r>
              <w:rPr>
                <w:rFonts w:hint="eastAsia" w:ascii="微软雅黑" w:hAnsi="微软雅黑" w:eastAsia="微软雅黑" w:cs="微软雅黑"/>
                <w:b/>
                <w:bCs/>
                <w:i w:val="0"/>
                <w:iCs w:val="0"/>
                <w:color w:val="333333"/>
                <w:kern w:val="0"/>
                <w:sz w:val="16"/>
                <w:szCs w:val="16"/>
                <w:u w:val="none"/>
                <w:lang w:val="en-US" w:eastAsia="zh-CN" w:bidi="ar"/>
              </w:rPr>
              <w:t>数量</w:t>
            </w:r>
          </w:p>
        </w:tc>
        <w:tc>
          <w:tcPr>
            <w:tcW w:w="2438"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333333"/>
                <w:sz w:val="16"/>
                <w:szCs w:val="16"/>
                <w:u w:val="none"/>
              </w:rPr>
            </w:pPr>
            <w:r>
              <w:rPr>
                <w:rFonts w:hint="eastAsia" w:ascii="微软雅黑" w:hAnsi="微软雅黑" w:eastAsia="微软雅黑" w:cs="微软雅黑"/>
                <w:b/>
                <w:bCs/>
                <w:i w:val="0"/>
                <w:iCs w:val="0"/>
                <w:color w:val="333333"/>
                <w:kern w:val="0"/>
                <w:sz w:val="16"/>
                <w:szCs w:val="16"/>
                <w:u w:val="none"/>
                <w:lang w:val="en-US" w:eastAsia="zh-CN" w:bidi="ar"/>
              </w:rPr>
              <w:t>参数</w:t>
            </w:r>
          </w:p>
        </w:tc>
        <w:tc>
          <w:tcPr>
            <w:tcW w:w="559"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333333"/>
                <w:sz w:val="16"/>
                <w:szCs w:val="16"/>
                <w:u w:val="none"/>
              </w:rPr>
            </w:pPr>
            <w:r>
              <w:rPr>
                <w:rFonts w:hint="eastAsia" w:ascii="微软雅黑" w:hAnsi="微软雅黑" w:eastAsia="微软雅黑" w:cs="微软雅黑"/>
                <w:b/>
                <w:bCs/>
                <w:i w:val="0"/>
                <w:iCs w:val="0"/>
                <w:color w:val="333333"/>
                <w:kern w:val="0"/>
                <w:sz w:val="16"/>
                <w:szCs w:val="16"/>
                <w:u w:val="none"/>
                <w:lang w:val="en-US" w:eastAsia="zh-CN" w:bidi="ar"/>
              </w:rPr>
              <w:t>需求时间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286" w:type="pct"/>
            <w:vMerge w:val="restart"/>
            <w:tcBorders>
              <w:top w:val="single" w:color="D9DDE1" w:sz="8" w:space="0"/>
              <w:left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包一</w:t>
            </w:r>
          </w:p>
        </w:tc>
        <w:tc>
          <w:tcPr>
            <w:tcW w:w="966"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HIV抗体ELISA检测试剂盒（场管试剂）</w:t>
            </w:r>
          </w:p>
        </w:tc>
        <w:tc>
          <w:tcPr>
            <w:tcW w:w="343"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盒</w:t>
            </w:r>
          </w:p>
        </w:tc>
        <w:tc>
          <w:tcPr>
            <w:tcW w:w="404"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50</w:t>
            </w:r>
          </w:p>
        </w:tc>
        <w:tc>
          <w:tcPr>
            <w:tcW w:w="2438" w:type="pct"/>
            <w:vMerge w:val="restar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1.产品要求：需取得国家CFDA的批准文号，具有国食药监注册证书编号；</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2.功能要求：检测人血清或血浆中的人类免疫缺陷病毒抗体（Ⅰ型和Ⅱ型） (以说明书内容为准)；</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3.检测原理：双抗原夹心法。</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4.储存条件及有效期：试剂盒于冷藏温度（2-8℃）保存时，有效期不少于9个月）；</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5.包装规格： 96人份/盒，实验板条位8孔/条*12。</w:t>
            </w:r>
          </w:p>
        </w:tc>
        <w:tc>
          <w:tcPr>
            <w:tcW w:w="559"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全年，分批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286" w:type="pct"/>
            <w:vMerge w:val="continue"/>
            <w:tcBorders>
              <w:left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p>
        </w:tc>
        <w:tc>
          <w:tcPr>
            <w:tcW w:w="966"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HIV抗体ELISA检测试剂盒（哨点初筛试剂）</w:t>
            </w:r>
          </w:p>
        </w:tc>
        <w:tc>
          <w:tcPr>
            <w:tcW w:w="343"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盒</w:t>
            </w:r>
          </w:p>
        </w:tc>
        <w:tc>
          <w:tcPr>
            <w:tcW w:w="404"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12</w:t>
            </w:r>
          </w:p>
        </w:tc>
        <w:tc>
          <w:tcPr>
            <w:tcW w:w="2438" w:type="pct"/>
            <w:vMerge w:val="continue"/>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微软雅黑" w:hAnsi="微软雅黑" w:eastAsia="微软雅黑" w:cs="微软雅黑"/>
                <w:i w:val="0"/>
                <w:iCs w:val="0"/>
                <w:color w:val="5B5B5B"/>
                <w:sz w:val="16"/>
                <w:szCs w:val="16"/>
                <w:u w:val="none"/>
              </w:rPr>
            </w:pPr>
          </w:p>
        </w:tc>
        <w:tc>
          <w:tcPr>
            <w:tcW w:w="559"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2023-6-30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9" w:hRule="atLeast"/>
        </w:trPr>
        <w:tc>
          <w:tcPr>
            <w:tcW w:w="286" w:type="pct"/>
            <w:vMerge w:val="continue"/>
            <w:tcBorders>
              <w:left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p>
        </w:tc>
        <w:tc>
          <w:tcPr>
            <w:tcW w:w="966"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HCV抗体ELLISA检测试剂盒（哨点初筛试剂）</w:t>
            </w:r>
          </w:p>
        </w:tc>
        <w:tc>
          <w:tcPr>
            <w:tcW w:w="343"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盒</w:t>
            </w:r>
          </w:p>
        </w:tc>
        <w:tc>
          <w:tcPr>
            <w:tcW w:w="404"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12</w:t>
            </w:r>
          </w:p>
        </w:tc>
        <w:tc>
          <w:tcPr>
            <w:tcW w:w="2438"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1. 产品要求：需取得国家CFDA的批准文号，具有国食药监注册药品证书编号；</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 xml:space="preserve">2. 功能要求：特异性检测人血清或血浆中的丙型肝炎病毒抗体； </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3. 检测原理：间接法；</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4. 储存条件及有效期：试剂盒于冷藏温度（2-8℃）避光保存时，有效期不少于9个月）；</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5. 包装规格：96人份/盒，实验板条位8孔/条*12；</w:t>
            </w:r>
          </w:p>
        </w:tc>
        <w:tc>
          <w:tcPr>
            <w:tcW w:w="559"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2023-6-30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8" w:hRule="atLeast"/>
        </w:trPr>
        <w:tc>
          <w:tcPr>
            <w:tcW w:w="286" w:type="pct"/>
            <w:vMerge w:val="continue"/>
            <w:tcBorders>
              <w:left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p>
        </w:tc>
        <w:tc>
          <w:tcPr>
            <w:tcW w:w="966"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梅毒抗体ELLISA检测试剂盒（哨点初筛试剂）</w:t>
            </w:r>
          </w:p>
        </w:tc>
        <w:tc>
          <w:tcPr>
            <w:tcW w:w="343"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盒</w:t>
            </w:r>
          </w:p>
        </w:tc>
        <w:tc>
          <w:tcPr>
            <w:tcW w:w="404"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12</w:t>
            </w:r>
          </w:p>
        </w:tc>
        <w:tc>
          <w:tcPr>
            <w:tcW w:w="2438"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1. 产品要求：需取得国家CFDA的批准文号，具有国食药监注册药品证书编号；</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 xml:space="preserve">2. 功能要求：特异性检测人血清或血浆中的梅毒螺旋体抗体； </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3. 检测原理：双抗原夹心法；</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4. 储存条件及有效期：试剂盒于冷藏温度（2-8℃）避光保存时，有效期不少于9个月）；</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5. 包装规格：96人份/盒，实验板条位8孔/条*12；</w:t>
            </w:r>
          </w:p>
        </w:tc>
        <w:tc>
          <w:tcPr>
            <w:tcW w:w="559"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2023-6-30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286" w:type="pct"/>
            <w:vMerge w:val="continue"/>
            <w:tcBorders>
              <w:left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p>
        </w:tc>
        <w:tc>
          <w:tcPr>
            <w:tcW w:w="966"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HIV抗体ELLISA检测试剂盒（哨点复检试剂）</w:t>
            </w:r>
          </w:p>
        </w:tc>
        <w:tc>
          <w:tcPr>
            <w:tcW w:w="343"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盒</w:t>
            </w:r>
          </w:p>
        </w:tc>
        <w:tc>
          <w:tcPr>
            <w:tcW w:w="404"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2</w:t>
            </w:r>
          </w:p>
        </w:tc>
        <w:tc>
          <w:tcPr>
            <w:tcW w:w="2438"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1. 产品要求：需取得国家CFDA的批准文号，具有国食药监注册药品证书编号；</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 xml:space="preserve">2. 功能要求：特异性检测人血清或血浆中的丙型肝炎病毒抗体； </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3. 检测原理：间接法；</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4. 储存条件及有效期：试剂盒于冷藏温度（2-8℃）避光保存时，有效期不少于9个月）；</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5. 包装规格：96人份/盒，实验板条位8孔/条*12；                                6.复检试剂和初筛试剂须为两个不同厂家。</w:t>
            </w:r>
          </w:p>
        </w:tc>
        <w:tc>
          <w:tcPr>
            <w:tcW w:w="559"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2023-6-30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7" w:hRule="atLeast"/>
        </w:trPr>
        <w:tc>
          <w:tcPr>
            <w:tcW w:w="286" w:type="pct"/>
            <w:vMerge w:val="continue"/>
            <w:tcBorders>
              <w:left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p>
        </w:tc>
        <w:tc>
          <w:tcPr>
            <w:tcW w:w="966"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HCV抗体ELLISA检测试剂盒（哨点复检试剂）</w:t>
            </w:r>
          </w:p>
        </w:tc>
        <w:tc>
          <w:tcPr>
            <w:tcW w:w="343"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盒</w:t>
            </w:r>
          </w:p>
        </w:tc>
        <w:tc>
          <w:tcPr>
            <w:tcW w:w="404"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2</w:t>
            </w:r>
          </w:p>
        </w:tc>
        <w:tc>
          <w:tcPr>
            <w:tcW w:w="2438"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1. 产品要求：需取得国家CFDA的批准文号，具有国食药监注册药品证书编号；</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 xml:space="preserve">2. 功能要求：特异性检测人血清或血浆中的丙型肝炎病毒抗体； </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3. 检测原理：间接法；</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4. 储存条件及有效期：试剂盒于冷藏温度（2-8℃）避光保存时，有效期不少于9个月）；</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5. 包装规格：96人份/盒，实验板条位8孔/条*12；                               6.复检试剂和初筛试剂须为两个不同厂家。</w:t>
            </w:r>
          </w:p>
        </w:tc>
        <w:tc>
          <w:tcPr>
            <w:tcW w:w="559"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2023-6-30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286" w:type="pct"/>
            <w:vMerge w:val="continue"/>
            <w:tcBorders>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p>
        </w:tc>
        <w:tc>
          <w:tcPr>
            <w:tcW w:w="966"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梅毒抗体TUAST检测试剂盒（哨点复检试剂）</w:t>
            </w:r>
          </w:p>
        </w:tc>
        <w:tc>
          <w:tcPr>
            <w:tcW w:w="343"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盒</w:t>
            </w:r>
          </w:p>
        </w:tc>
        <w:tc>
          <w:tcPr>
            <w:tcW w:w="404"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2</w:t>
            </w:r>
          </w:p>
        </w:tc>
        <w:tc>
          <w:tcPr>
            <w:tcW w:w="2438"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 xml:space="preserve">1.包装规格：120人份/盒， </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2.用途</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本试剂采用 VDRL 抗原重悬于含有特制的甲苯胺红溶液中制成。供在白色卡片上进行试验，以检测血清或血浆中反应素用。可作为梅毒病人的诊断和疗效之参考。</w:t>
            </w:r>
          </w:p>
        </w:tc>
        <w:tc>
          <w:tcPr>
            <w:tcW w:w="559"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2023-6-30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1" w:hRule="atLeast"/>
        </w:trPr>
        <w:tc>
          <w:tcPr>
            <w:tcW w:w="286"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包二</w:t>
            </w:r>
          </w:p>
        </w:tc>
        <w:tc>
          <w:tcPr>
            <w:tcW w:w="966"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HIV抗体快速检测试剂盒(胶体金或胶体硒法）</w:t>
            </w:r>
            <w:r>
              <w:rPr>
                <w:rFonts w:hint="eastAsia" w:ascii="微软雅黑" w:hAnsi="微软雅黑" w:eastAsia="微软雅黑" w:cs="微软雅黑"/>
                <w:b/>
                <w:bCs/>
                <w:i w:val="0"/>
                <w:iCs w:val="0"/>
                <w:color w:val="5B5B5B"/>
                <w:kern w:val="0"/>
                <w:sz w:val="16"/>
                <w:szCs w:val="16"/>
                <w:u w:val="none"/>
                <w:lang w:val="en-US" w:eastAsia="zh-CN" w:bidi="ar"/>
              </w:rPr>
              <w:t>进口试剂</w:t>
            </w:r>
          </w:p>
        </w:tc>
        <w:tc>
          <w:tcPr>
            <w:tcW w:w="343"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人份</w:t>
            </w:r>
          </w:p>
        </w:tc>
        <w:tc>
          <w:tcPr>
            <w:tcW w:w="404"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1000</w:t>
            </w:r>
          </w:p>
        </w:tc>
        <w:tc>
          <w:tcPr>
            <w:tcW w:w="2438"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 xml:space="preserve">原理：免疫层析法，可检测HIV-1型、HIV-2型抗体及O亚型抗体 ；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sz w:val="16"/>
                <w:szCs w:val="16"/>
                <w:u w:val="none"/>
              </w:rPr>
            </w:pPr>
            <w:r>
              <w:rPr>
                <w:rFonts w:hint="eastAsia" w:ascii="微软雅黑" w:hAnsi="微软雅黑" w:eastAsia="微软雅黑" w:cs="微软雅黑"/>
                <w:i w:val="0"/>
                <w:iCs w:val="0"/>
                <w:color w:val="5B5B5B"/>
                <w:kern w:val="0"/>
                <w:sz w:val="16"/>
                <w:szCs w:val="16"/>
                <w:u w:val="none"/>
                <w:lang w:val="en-US" w:eastAsia="zh-CN" w:bidi="ar"/>
              </w:rPr>
              <w:t>储存温度：2－30℃；</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包装：每条测试条独立包装；</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样品用量：20微升全血或10微升血清、血浆；</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出结果时间：10分钟；阳性结果稳定时间：10－20分钟；</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结果判定：可区分HIV-1/2型结果；</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产品效期：到货后18个月以上；</w:t>
            </w:r>
            <w:r>
              <w:rPr>
                <w:rFonts w:hint="eastAsia" w:ascii="微软雅黑" w:hAnsi="微软雅黑" w:eastAsia="微软雅黑" w:cs="微软雅黑"/>
                <w:i w:val="0"/>
                <w:iCs w:val="0"/>
                <w:color w:val="5B5B5B"/>
                <w:kern w:val="0"/>
                <w:sz w:val="16"/>
                <w:szCs w:val="16"/>
                <w:u w:val="none"/>
                <w:lang w:val="en-US" w:eastAsia="zh-CN" w:bidi="ar"/>
              </w:rPr>
              <w:br w:type="textWrapping"/>
            </w:r>
            <w:r>
              <w:rPr>
                <w:rFonts w:hint="eastAsia" w:ascii="微软雅黑" w:hAnsi="微软雅黑" w:eastAsia="微软雅黑" w:cs="微软雅黑"/>
                <w:i w:val="0"/>
                <w:iCs w:val="0"/>
                <w:color w:val="5B5B5B"/>
                <w:kern w:val="0"/>
                <w:sz w:val="16"/>
                <w:szCs w:val="16"/>
                <w:u w:val="none"/>
                <w:lang w:val="en-US" w:eastAsia="zh-CN" w:bidi="ar"/>
              </w:rPr>
              <w:t>临床质量评估结果：2020年以来连续在全国HIV抗体快速诊断试剂临床质量评估，敏感性均大于100%，特异性均大于99.3%</w:t>
            </w:r>
          </w:p>
        </w:tc>
        <w:tc>
          <w:tcPr>
            <w:tcW w:w="559"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2023-5-1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92" w:hRule="atLeast"/>
        </w:trPr>
        <w:tc>
          <w:tcPr>
            <w:tcW w:w="286" w:type="pct"/>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说明</w:t>
            </w:r>
          </w:p>
        </w:tc>
        <w:tc>
          <w:tcPr>
            <w:tcW w:w="4713" w:type="pct"/>
            <w:gridSpan w:val="5"/>
            <w:tcBorders>
              <w:top w:val="single" w:color="D9DDE1" w:sz="8" w:space="0"/>
              <w:left w:val="single" w:color="D9DDE1" w:sz="8" w:space="0"/>
              <w:bottom w:val="single" w:color="D9DDE1" w:sz="8" w:space="0"/>
              <w:right w:val="single" w:color="D9DDE1" w:sz="8"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1.报价方须对所报价包内所有产品和数量进行报价，否则视为无效报价。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2.供应商的响应文件必须标明所投货物的品牌与参数，保证原厂正品供货，提供相关资料等。</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3需提供技术证明文件之一（医疗器械注册证、医疗器械注册登记表、第三方检测报告、产品使用说明书、产品彩页及实物图片）予以证明所提供的产品符合以上技术要求。</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5B5B5B"/>
                <w:kern w:val="0"/>
                <w:sz w:val="16"/>
                <w:szCs w:val="16"/>
                <w:u w:val="none"/>
                <w:lang w:val="en-US" w:eastAsia="zh-CN" w:bidi="ar"/>
              </w:rPr>
            </w:pPr>
            <w:r>
              <w:rPr>
                <w:rFonts w:hint="eastAsia" w:ascii="微软雅黑" w:hAnsi="微软雅黑" w:eastAsia="微软雅黑" w:cs="微软雅黑"/>
                <w:i w:val="0"/>
                <w:iCs w:val="0"/>
                <w:color w:val="5B5B5B"/>
                <w:kern w:val="0"/>
                <w:sz w:val="16"/>
                <w:szCs w:val="16"/>
                <w:u w:val="none"/>
                <w:lang w:val="en-US" w:eastAsia="zh-CN" w:bidi="ar"/>
              </w:rPr>
              <w:t>4.本项目所需要各类证明材料，成交人需在7个日历天内提供原厂证明（须加盖原厂公章），若成交人未在招标文件要求的期限内提供证明材料或成交人提供的证明材料不能完全符合磋商文件要求，则视为虚假响应。</w:t>
            </w:r>
          </w:p>
        </w:tc>
      </w:tr>
    </w:tbl>
    <w:p>
      <w:pPr>
        <w:pStyle w:val="8"/>
        <w:widowControl w:val="0"/>
        <w:numPr>
          <w:ilvl w:val="0"/>
          <w:numId w:val="1"/>
        </w:numPr>
        <w:autoSpaceDE w:val="0"/>
        <w:autoSpaceDN w:val="0"/>
        <w:adjustRightInd w:val="0"/>
        <w:spacing w:line="500" w:lineRule="exact"/>
        <w:jc w:val="both"/>
        <w:rPr>
          <w:rFonts w:hint="eastAsia" w:ascii="Times New Roman" w:hAnsi="Times New Roman" w:eastAsia="黑体"/>
          <w:sz w:val="24"/>
          <w:szCs w:val="24"/>
          <w:lang w:val="zh-CN" w:eastAsia="zh-CN"/>
        </w:rPr>
      </w:pPr>
      <w:r>
        <w:rPr>
          <w:rFonts w:hint="eastAsia" w:ascii="Times New Roman" w:hAnsi="Times New Roman" w:eastAsia="黑体"/>
          <w:sz w:val="24"/>
          <w:szCs w:val="24"/>
          <w:lang w:val="zh-CN" w:eastAsia="zh-CN"/>
        </w:rPr>
        <w:t>商务要求</w:t>
      </w:r>
    </w:p>
    <w:bookmarkEnd w:id="1"/>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供应商的报价应包括：人员费用、运输费用、设备费、管理费及税金等为完成磋商文件规定全部内容所需的一切应有费用。</w:t>
      </w:r>
    </w:p>
    <w:p>
      <w:pPr>
        <w:spacing w:line="400" w:lineRule="exact"/>
        <w:ind w:firstLine="482" w:firstLineChars="200"/>
        <w:rPr>
          <w:rFonts w:hint="eastAsia" w:ascii="仿宋" w:hAnsi="仿宋" w:eastAsia="仿宋" w:cs="仿宋"/>
          <w:snapToGrid w:val="0"/>
          <w:lang w:val="zh-CN"/>
        </w:rPr>
      </w:pPr>
      <w:r>
        <w:rPr>
          <w:rFonts w:hint="eastAsia" w:ascii="仿宋" w:hAnsi="仿宋" w:eastAsia="仿宋" w:cs="仿宋"/>
          <w:b/>
          <w:bCs/>
          <w:snapToGrid w:val="0"/>
        </w:rPr>
        <w:t>（二）交货地点：采购人指定地点</w:t>
      </w:r>
    </w:p>
    <w:p>
      <w:pPr>
        <w:spacing w:line="400" w:lineRule="exact"/>
        <w:ind w:firstLine="480" w:firstLineChars="200"/>
        <w:rPr>
          <w:rFonts w:hint="eastAsia" w:ascii="仿宋" w:hAnsi="仿宋" w:eastAsia="仿宋" w:cs="仿宋"/>
        </w:rPr>
      </w:pPr>
      <w:r>
        <w:rPr>
          <w:rFonts w:hint="eastAsia" w:ascii="仿宋" w:hAnsi="仿宋" w:eastAsia="仿宋" w:cs="仿宋"/>
        </w:rPr>
        <w:t>（</w:t>
      </w:r>
      <w:r>
        <w:rPr>
          <w:rFonts w:hint="eastAsia" w:ascii="仿宋" w:hAnsi="仿宋" w:eastAsia="仿宋" w:cs="仿宋"/>
          <w:b/>
          <w:bCs/>
          <w:snapToGrid w:val="0"/>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numPr>
          <w:ilvl w:val="0"/>
          <w:numId w:val="2"/>
        </w:numPr>
        <w:spacing w:line="400" w:lineRule="exact"/>
        <w:ind w:firstLine="482" w:firstLineChars="200"/>
        <w:rPr>
          <w:rFonts w:hint="eastAsia" w:ascii="仿宋" w:hAnsi="仿宋" w:eastAsia="仿宋" w:cs="仿宋"/>
          <w:b/>
          <w:bCs/>
          <w:snapToGrid w:val="0"/>
        </w:rPr>
      </w:pPr>
      <w:r>
        <w:rPr>
          <w:rFonts w:hint="eastAsia" w:ascii="仿宋" w:hAnsi="仿宋" w:eastAsia="仿宋" w:cs="仿宋"/>
          <w:b/>
          <w:bCs/>
          <w:snapToGrid w:val="0"/>
        </w:rPr>
        <w:t>售后服务</w:t>
      </w:r>
    </w:p>
    <w:p>
      <w:pPr>
        <w:spacing w:line="400" w:lineRule="exact"/>
        <w:ind w:firstLine="482" w:firstLineChars="200"/>
        <w:rPr>
          <w:rFonts w:hint="eastAsia" w:ascii="仿宋" w:hAnsi="仿宋" w:eastAsia="仿宋" w:cs="仿宋"/>
        </w:rPr>
      </w:pPr>
      <w:r>
        <w:rPr>
          <w:rFonts w:hint="eastAsia" w:ascii="仿宋" w:hAnsi="仿宋" w:eastAsia="仿宋" w:cs="仿宋"/>
          <w:b/>
          <w:bCs/>
        </w:rPr>
        <w:t>1.保修及售后服务：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ascii="仿宋" w:hAnsi="仿宋" w:eastAsia="仿宋" w:cs="仿宋"/>
          <w:snapToGrid w:val="0"/>
          <w:color w:val="FF0000"/>
        </w:rPr>
      </w:pPr>
      <w:r>
        <w:rPr>
          <w:rFonts w:hint="eastAsia" w:ascii="仿宋" w:hAnsi="仿宋" w:eastAsia="仿宋" w:cs="仿宋"/>
          <w:b/>
          <w:bCs/>
        </w:rPr>
        <w:t>2.供货要求：</w:t>
      </w:r>
      <w:r>
        <w:rPr>
          <w:rFonts w:hint="eastAsia" w:ascii="仿宋" w:hAnsi="仿宋" w:eastAsia="仿宋" w:cs="仿宋"/>
        </w:rPr>
        <w:t>供应商成交以后，合同签订之日起</w:t>
      </w:r>
      <w:r>
        <w:rPr>
          <w:rFonts w:hint="eastAsia" w:ascii="仿宋" w:hAnsi="仿宋" w:eastAsia="仿宋" w:cs="仿宋"/>
          <w:lang w:val="en-US" w:eastAsia="zh-CN"/>
        </w:rPr>
        <w:t>15个日历天内完成</w:t>
      </w:r>
      <w:r>
        <w:rPr>
          <w:rFonts w:hint="eastAsia" w:ascii="仿宋" w:hAnsi="仿宋" w:eastAsia="仿宋" w:cs="仿宋"/>
        </w:rPr>
        <w:t>，否则，采购人有权解除合同，由此造成的全部损失，由成交供应商全部承担。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rPr>
        <w:t>3.</w:t>
      </w:r>
      <w:r>
        <w:rPr>
          <w:rFonts w:hint="eastAsia" w:ascii="仿宋" w:hAnsi="仿宋" w:eastAsia="仿宋" w:cs="仿宋"/>
          <w:snapToGrid w:val="0"/>
          <w:lang w:val="zh-CN"/>
        </w:rPr>
        <w:t>报价方对提供的货物在质保期内，因产品质量而导致的缺陷，必须免费提供包换、包退服务。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rPr>
        <w:t>4.付款及结算方式：</w:t>
      </w:r>
      <w:r>
        <w:rPr>
          <w:rFonts w:hint="eastAsia" w:ascii="仿宋" w:hAnsi="仿宋" w:eastAsia="仿宋" w:cs="仿宋"/>
        </w:rPr>
        <w:t>验收合格</w:t>
      </w:r>
      <w:r>
        <w:rPr>
          <w:rFonts w:hint="eastAsia" w:ascii="仿宋" w:hAnsi="仿宋" w:eastAsia="仿宋" w:cs="仿宋"/>
          <w:snapToGrid w:val="0"/>
          <w:lang w:val="zh-CN"/>
        </w:rPr>
        <w:t>后，成交供应商按采购人要求凭国家正式发票及相关证明文件向采购人申请付款，采购人收到申请后在</w:t>
      </w:r>
      <w:r>
        <w:rPr>
          <w:rFonts w:hint="eastAsia" w:ascii="仿宋" w:hAnsi="仿宋" w:eastAsia="仿宋" w:cs="仿宋"/>
          <w:snapToGrid w:val="0"/>
        </w:rPr>
        <w:t>15</w:t>
      </w:r>
      <w:r>
        <w:rPr>
          <w:rFonts w:hint="eastAsia" w:ascii="仿宋" w:hAnsi="仿宋" w:eastAsia="仿宋" w:cs="仿宋"/>
          <w:snapToGrid w:val="0"/>
          <w:lang w:val="zh-CN"/>
        </w:rPr>
        <w:t>个工作日内结清全部货款。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（四）验收方法及标准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按照签订的采购合同、技术要求及标准对每一环节、标准的履约情况进行验收。验收结束后，应当出具验收书，由双方共同签署。</w:t>
      </w:r>
    </w:p>
    <w:p/>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7EB16"/>
    <w:multiLevelType w:val="singleLevel"/>
    <w:tmpl w:val="02F7EB16"/>
    <w:lvl w:ilvl="0" w:tentative="0">
      <w:start w:val="3"/>
      <w:numFmt w:val="chineseCounting"/>
      <w:suff w:val="nothing"/>
      <w:lvlText w:val="（%1）"/>
      <w:lvlJc w:val="left"/>
      <w:rPr>
        <w:rFonts w:hint="eastAsia"/>
      </w:rPr>
    </w:lvl>
  </w:abstractNum>
  <w:abstractNum w:abstractNumId="1">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4E621C55"/>
    <w:rsid w:val="4E621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Plain Text"/>
    <w:basedOn w:val="1"/>
    <w:qFormat/>
    <w:uiPriority w:val="0"/>
    <w:rPr>
      <w:rFonts w:ascii="宋体" w:hAnsi="Courier New" w:cs="Courier New"/>
      <w:kern w:val="2"/>
      <w:szCs w:val="21"/>
    </w:rPr>
  </w:style>
  <w:style w:type="paragraph" w:customStyle="1" w:styleId="8">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2023-02-28T05:56:00Z</dcterms:created>
  <dc:creator>Administrator</dc:creator>
  <cp:lastModifiedBy>Administrator</cp:lastModifiedBy>
  <dcterms:modified xsi:type="dcterms:W3CDTF">2023-02-28T05:57:47Z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8288287625E64DF6831AF7A1E4C9E50F</vt:lpwstr>
  </property>
</Properties>
</file>