
<file path=[Content_Types].xml><?xml version="1.0" encoding="utf-8"?>
<Types xmlns="http://schemas.openxmlformats.org/package/2006/content-types">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numPr>
          <w:numId w:val="0"/>
        </w:numPr>
        <w:jc w:val="both"/>
        <w:rPr>
          <w:rFonts w:hint="eastAsia" w:ascii="方正小标宋_GBK" w:hAnsi="方正小标宋_GBK" w:eastAsia="方正小标宋_GBK" w:cs="方正小标宋_GBK"/>
          <w:b w:val="0"/>
          <w:bCs w:val="0"/>
          <w:sz w:val="32"/>
          <w:szCs w:val="32"/>
          <w:lang w:eastAsia="zh-CN"/>
        </w:rPr>
      </w:pPr>
      <w:bookmarkStart w:id="0" w:name="_Toc26798"/>
      <w:bookmarkStart w:id="1" w:name="_Toc285612596"/>
      <w:r>
        <w:rPr>
          <w:rFonts w:hint="eastAsia" w:ascii="宋体" w:hAnsi="宋体" w:cs="宋体"/>
          <w:b/>
          <w:color w:val="000000"/>
          <w:sz w:val="32"/>
          <w:szCs w:val="32"/>
          <w:lang w:val="en-US" w:eastAsia="zh-CN"/>
        </w:rPr>
        <w:t>附件：</w:t>
      </w:r>
      <w:bookmarkEnd w:id="0"/>
      <w:r>
        <w:rPr>
          <w:rFonts w:hint="eastAsia" w:ascii="宋体" w:hAnsi="宋体" w:cs="宋体"/>
          <w:b/>
          <w:color w:val="000000"/>
          <w:sz w:val="32"/>
          <w:szCs w:val="32"/>
          <w:lang w:val="en-US" w:eastAsia="zh-CN"/>
        </w:rPr>
        <w:t xml:space="preserve">                </w:t>
      </w:r>
      <w:r>
        <w:rPr>
          <w:rFonts w:hint="eastAsia" w:ascii="宋体" w:hAnsi="宋体" w:cs="宋体"/>
          <w:b/>
          <w:color w:val="000000"/>
          <w:sz w:val="32"/>
          <w:szCs w:val="32"/>
        </w:rPr>
        <w:t>采购</w:t>
      </w:r>
      <w:r>
        <w:rPr>
          <w:rFonts w:hint="eastAsia" w:ascii="方正小标宋_GBK" w:hAnsi="方正小标宋_GBK" w:eastAsia="方正小标宋_GBK" w:cs="方正小标宋_GBK"/>
          <w:b w:val="0"/>
          <w:bCs w:val="0"/>
          <w:sz w:val="32"/>
          <w:szCs w:val="32"/>
          <w:lang w:eastAsia="zh-CN"/>
        </w:rPr>
        <w:t>项目需求及技术要求</w:t>
      </w:r>
      <w:bookmarkStart w:id="2" w:name="_GoBack"/>
      <w:bookmarkEnd w:id="2"/>
    </w:p>
    <w:p>
      <w:pPr>
        <w:pStyle w:val="4"/>
        <w:widowControl w:val="0"/>
        <w:numPr>
          <w:ilvl w:val="0"/>
          <w:numId w:val="0"/>
        </w:numPr>
        <w:jc w:val="both"/>
        <w:rPr>
          <w:rFonts w:hint="eastAsia"/>
          <w:lang w:eastAsia="zh-CN"/>
        </w:rPr>
      </w:pPr>
    </w:p>
    <w:p>
      <w:pPr>
        <w:pStyle w:val="4"/>
        <w:widowControl w:val="0"/>
        <w:numPr>
          <w:ilvl w:val="0"/>
          <w:numId w:val="0"/>
        </w:numPr>
        <w:jc w:val="both"/>
        <w:rPr>
          <w:rFonts w:hint="eastAsia"/>
          <w:lang w:eastAsia="zh-CN"/>
        </w:rPr>
      </w:pPr>
    </w:p>
    <w:p>
      <w:pPr>
        <w:keepNext w:val="0"/>
        <w:keepLines w:val="0"/>
        <w:pageBreakBefore w:val="0"/>
        <w:widowControl w:val="0"/>
        <w:kinsoku/>
        <w:wordWrap/>
        <w:overflowPunct/>
        <w:topLinePunct w:val="0"/>
        <w:autoSpaceDE/>
        <w:autoSpaceDN/>
        <w:bidi w:val="0"/>
        <w:adjustRightInd/>
        <w:snapToGrid/>
        <w:spacing w:line="440" w:lineRule="exact"/>
        <w:textAlignment w:val="auto"/>
        <w:rPr>
          <w:rFonts w:ascii="宋体" w:hAnsi="宋体" w:eastAsia="宋体"/>
          <w:b/>
          <w:sz w:val="28"/>
          <w:szCs w:val="28"/>
        </w:rPr>
      </w:pPr>
      <w:r>
        <w:rPr>
          <w:rFonts w:hint="eastAsia" w:ascii="宋体" w:hAnsi="宋体" w:eastAsia="宋体"/>
          <w:b/>
          <w:sz w:val="28"/>
          <w:szCs w:val="28"/>
        </w:rPr>
        <w:t>前注：</w:t>
      </w:r>
    </w:p>
    <w:p>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560" w:firstLineChars="200"/>
        <w:textAlignment w:val="auto"/>
        <w:rPr>
          <w:rFonts w:hint="eastAsia" w:ascii="仿宋" w:hAnsi="仿宋" w:eastAsia="仿宋" w:cs="仿宋"/>
          <w:sz w:val="28"/>
          <w:szCs w:val="28"/>
          <w:lang w:eastAsia="zh-CN"/>
        </w:rPr>
      </w:pPr>
      <w:r>
        <w:rPr>
          <w:rFonts w:hint="eastAsia" w:ascii="仿宋" w:hAnsi="仿宋" w:eastAsia="仿宋" w:cs="仿宋"/>
          <w:sz w:val="28"/>
          <w:szCs w:val="28"/>
          <w:lang w:val="en-US" w:eastAsia="zh-CN"/>
        </w:rPr>
        <w:t>1.</w:t>
      </w:r>
      <w:r>
        <w:rPr>
          <w:rFonts w:hint="eastAsia" w:ascii="仿宋" w:hAnsi="仿宋" w:eastAsia="仿宋" w:cs="仿宋"/>
          <w:sz w:val="28"/>
          <w:szCs w:val="28"/>
          <w:lang w:eastAsia="zh-CN"/>
        </w:rPr>
        <w:t>本说明中提出的技术方案仅为参考，如无明确限制，供应商可以进行优化，提供满足用户实际需要的更优（或者性能实质上不低于的）技术方案或者设备配置，且此方案或配置须经磋商小组评审认可；</w:t>
      </w:r>
      <w:r>
        <w:rPr>
          <w:rFonts w:hint="eastAsia" w:ascii="仿宋" w:hAnsi="仿宋" w:eastAsia="仿宋" w:cs="仿宋"/>
          <w:sz w:val="28"/>
          <w:szCs w:val="28"/>
          <w:lang w:eastAsia="zh-CN"/>
        </w:rPr>
        <w:cr/>
      </w:r>
      <w:r>
        <w:rPr>
          <w:rFonts w:hint="eastAsia" w:ascii="仿宋" w:hAnsi="仿宋" w:eastAsia="仿宋" w:cs="仿宋"/>
          <w:sz w:val="28"/>
          <w:szCs w:val="28"/>
          <w:lang w:val="en-US" w:eastAsia="zh-CN"/>
        </w:rPr>
        <w:t xml:space="preserve">    2.</w:t>
      </w:r>
      <w:r>
        <w:rPr>
          <w:rFonts w:hint="eastAsia" w:ascii="仿宋" w:hAnsi="仿宋" w:eastAsia="仿宋" w:cs="仿宋"/>
          <w:sz w:val="28"/>
          <w:szCs w:val="28"/>
          <w:lang w:eastAsia="zh-CN"/>
        </w:rPr>
        <w:t>为鼓励不同品牌的充分竞争，如某设备的某技术参数或要求属于个别品牌专有，则该技术参数及要求不具有限制性，供应商可对该参数或要求进行适当调整，并应当说明调整的理由，且此调整须经磋商小组评审认可；</w:t>
      </w:r>
    </w:p>
    <w:p>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560" w:firstLineChars="200"/>
        <w:textAlignment w:val="auto"/>
        <w:rPr>
          <w:rFonts w:hint="eastAsia"/>
          <w:sz w:val="28"/>
          <w:szCs w:val="28"/>
          <w:lang w:eastAsia="zh-CN"/>
        </w:rPr>
      </w:pPr>
      <w:r>
        <w:rPr>
          <w:rFonts w:hint="eastAsia" w:ascii="仿宋" w:hAnsi="仿宋" w:eastAsia="仿宋" w:cs="仿宋"/>
          <w:sz w:val="28"/>
          <w:szCs w:val="28"/>
          <w:lang w:val="en-US" w:eastAsia="zh-CN"/>
        </w:rPr>
        <w:t>3.</w:t>
      </w:r>
      <w:r>
        <w:rPr>
          <w:rFonts w:hint="eastAsia" w:ascii="仿宋" w:hAnsi="仿宋" w:eastAsia="仿宋" w:cs="仿宋"/>
          <w:sz w:val="28"/>
          <w:szCs w:val="28"/>
          <w:lang w:eastAsia="zh-CN"/>
        </w:rPr>
        <w:t>为有助于供应商选择磋商产品，项目说明中可能提供了推荐品牌（或型号）、参考品牌（或型号）等，这些品牌（或型号）仅供参考，并无限制性。供应商可以选择性能不低于推荐（或参考）的品牌（或型号）的其他品牌产品，但磋商时应当提有关技术证明资料，未提供的可能导致磋商无效；</w:t>
      </w:r>
    </w:p>
    <w:p>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560" w:firstLineChars="200"/>
        <w:textAlignment w:val="auto"/>
        <w:rPr>
          <w:rFonts w:hint="eastAsia" w:ascii="黑体" w:hAnsi="黑体" w:eastAsia="黑体" w:cs="黑体"/>
          <w:b w:val="0"/>
          <w:bCs w:val="0"/>
          <w:sz w:val="28"/>
          <w:szCs w:val="28"/>
          <w:lang w:eastAsia="zh-CN"/>
        </w:rPr>
      </w:pPr>
      <w:r>
        <w:rPr>
          <w:rFonts w:hint="eastAsia" w:ascii="黑体" w:hAnsi="黑体" w:eastAsia="黑体" w:cs="黑体"/>
          <w:b w:val="0"/>
          <w:bCs w:val="0"/>
          <w:sz w:val="28"/>
          <w:szCs w:val="28"/>
          <w:lang w:eastAsia="zh-CN"/>
        </w:rPr>
        <w:t>一、采购需求一览表</w:t>
      </w:r>
    </w:p>
    <w:tbl>
      <w:tblPr>
        <w:tblStyle w:val="6"/>
        <w:tblW w:w="4931"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8"/>
        <w:gridCol w:w="880"/>
        <w:gridCol w:w="3091"/>
        <w:gridCol w:w="492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8" w:hRule="atLeast"/>
        </w:trPr>
        <w:tc>
          <w:tcPr>
            <w:tcW w:w="421" w:type="pct"/>
            <w:noWrap w:val="0"/>
            <w:vAlign w:val="center"/>
          </w:tcPr>
          <w:p>
            <w:pPr>
              <w:numPr>
                <w:ilvl w:val="0"/>
                <w:numId w:val="0"/>
              </w:numPr>
              <w:jc w:val="center"/>
              <w:rPr>
                <w:rFonts w:hint="eastAsia" w:ascii="楷体" w:hAnsi="楷体" w:eastAsia="楷体" w:cs="楷体"/>
                <w:b/>
                <w:bCs/>
                <w:sz w:val="24"/>
                <w:szCs w:val="24"/>
                <w:vertAlign w:val="baseline"/>
                <w:lang w:eastAsia="zh-CN"/>
              </w:rPr>
            </w:pPr>
            <w:r>
              <w:rPr>
                <w:rFonts w:hint="eastAsia" w:ascii="楷体" w:hAnsi="楷体" w:eastAsia="楷体" w:cs="楷体"/>
                <w:b/>
                <w:bCs/>
                <w:sz w:val="24"/>
                <w:szCs w:val="24"/>
                <w:vertAlign w:val="baseline"/>
                <w:lang w:eastAsia="zh-CN"/>
              </w:rPr>
              <w:t>包别</w:t>
            </w:r>
          </w:p>
        </w:tc>
        <w:tc>
          <w:tcPr>
            <w:tcW w:w="452" w:type="pct"/>
            <w:noWrap w:val="0"/>
            <w:vAlign w:val="center"/>
          </w:tcPr>
          <w:p>
            <w:pPr>
              <w:numPr>
                <w:ilvl w:val="0"/>
                <w:numId w:val="0"/>
              </w:numPr>
              <w:ind w:left="0" w:leftChars="0" w:firstLine="0" w:firstLineChars="0"/>
              <w:jc w:val="center"/>
              <w:rPr>
                <w:rFonts w:hint="eastAsia" w:ascii="楷体" w:hAnsi="楷体" w:eastAsia="楷体" w:cs="楷体"/>
                <w:b/>
                <w:bCs/>
                <w:kern w:val="2"/>
                <w:sz w:val="24"/>
                <w:szCs w:val="24"/>
                <w:vertAlign w:val="baseline"/>
                <w:lang w:val="en-US" w:eastAsia="zh-CN" w:bidi="ar-SA"/>
              </w:rPr>
            </w:pPr>
            <w:r>
              <w:rPr>
                <w:rFonts w:hint="eastAsia" w:ascii="楷体" w:hAnsi="楷体" w:eastAsia="楷体" w:cs="楷体"/>
                <w:b/>
                <w:bCs/>
                <w:sz w:val="24"/>
                <w:szCs w:val="24"/>
                <w:vertAlign w:val="baseline"/>
                <w:lang w:eastAsia="zh-CN"/>
              </w:rPr>
              <w:t>产品名称</w:t>
            </w:r>
          </w:p>
        </w:tc>
        <w:tc>
          <w:tcPr>
            <w:tcW w:w="1590" w:type="pct"/>
            <w:noWrap w:val="0"/>
            <w:vAlign w:val="center"/>
          </w:tcPr>
          <w:p>
            <w:pPr>
              <w:numPr>
                <w:ilvl w:val="0"/>
                <w:numId w:val="0"/>
              </w:numPr>
              <w:ind w:left="0" w:leftChars="0" w:firstLine="0" w:firstLineChars="0"/>
              <w:jc w:val="center"/>
              <w:rPr>
                <w:rFonts w:hint="eastAsia" w:ascii="楷体" w:hAnsi="楷体" w:eastAsia="楷体" w:cs="楷体"/>
                <w:b/>
                <w:bCs/>
                <w:sz w:val="24"/>
                <w:szCs w:val="24"/>
                <w:vertAlign w:val="baseline"/>
                <w:lang w:eastAsia="zh-CN"/>
              </w:rPr>
            </w:pPr>
            <w:r>
              <w:rPr>
                <w:rFonts w:hint="eastAsia" w:ascii="楷体" w:hAnsi="楷体" w:eastAsia="楷体" w:cs="楷体"/>
                <w:b/>
                <w:bCs/>
                <w:sz w:val="24"/>
                <w:szCs w:val="24"/>
                <w:vertAlign w:val="baseline"/>
                <w:lang w:eastAsia="zh-CN"/>
              </w:rPr>
              <w:t>技术参数</w:t>
            </w:r>
          </w:p>
        </w:tc>
        <w:tc>
          <w:tcPr>
            <w:tcW w:w="2535" w:type="pct"/>
            <w:noWrap w:val="0"/>
            <w:vAlign w:val="center"/>
          </w:tcPr>
          <w:p>
            <w:pPr>
              <w:numPr>
                <w:ilvl w:val="0"/>
                <w:numId w:val="0"/>
              </w:numPr>
              <w:ind w:left="0" w:leftChars="0" w:firstLine="0" w:firstLineChars="0"/>
              <w:jc w:val="center"/>
              <w:rPr>
                <w:rFonts w:hint="eastAsia" w:ascii="楷体" w:hAnsi="楷体" w:eastAsia="楷体" w:cs="楷体"/>
                <w:b/>
                <w:bCs/>
                <w:sz w:val="24"/>
                <w:szCs w:val="24"/>
                <w:vertAlign w:val="baseline"/>
                <w:lang w:eastAsia="zh-CN"/>
              </w:rPr>
            </w:pPr>
            <w:r>
              <w:rPr>
                <w:rFonts w:hint="eastAsia" w:ascii="楷体" w:hAnsi="楷体" w:eastAsia="楷体" w:cs="楷体"/>
                <w:b/>
                <w:bCs/>
                <w:sz w:val="24"/>
                <w:szCs w:val="24"/>
                <w:vertAlign w:val="baseline"/>
                <w:lang w:eastAsia="zh-CN"/>
              </w:rPr>
              <w:t>示意图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1" w:hRule="atLeast"/>
        </w:trPr>
        <w:tc>
          <w:tcPr>
            <w:tcW w:w="421" w:type="pct"/>
            <w:noWrap w:val="0"/>
            <w:vAlign w:val="center"/>
          </w:tcPr>
          <w:p>
            <w:pPr>
              <w:numPr>
                <w:ilvl w:val="0"/>
                <w:numId w:val="0"/>
              </w:numPr>
              <w:jc w:val="center"/>
              <w:rPr>
                <w:rFonts w:hint="eastAsia" w:ascii="仿宋" w:hAnsi="仿宋" w:eastAsia="仿宋" w:cs="仿宋"/>
                <w:sz w:val="21"/>
                <w:szCs w:val="21"/>
                <w:vertAlign w:val="baseline"/>
                <w:lang w:val="en-US" w:eastAsia="zh-CN"/>
              </w:rPr>
            </w:pPr>
            <w:r>
              <w:rPr>
                <w:rFonts w:hint="eastAsia" w:ascii="仿宋" w:hAnsi="仿宋" w:eastAsia="仿宋" w:cs="仿宋"/>
                <w:sz w:val="21"/>
                <w:szCs w:val="21"/>
                <w:vertAlign w:val="baseline"/>
                <w:lang w:val="en-US" w:eastAsia="zh-CN"/>
              </w:rPr>
              <w:t>包一</w:t>
            </w:r>
          </w:p>
        </w:tc>
        <w:tc>
          <w:tcPr>
            <w:tcW w:w="452" w:type="pct"/>
            <w:noWrap w:val="0"/>
            <w:vAlign w:val="center"/>
          </w:tcPr>
          <w:p>
            <w:pPr>
              <w:numPr>
                <w:ilvl w:val="0"/>
                <w:numId w:val="0"/>
              </w:numPr>
              <w:ind w:left="0" w:leftChars="0" w:firstLine="0" w:firstLineChars="0"/>
              <w:jc w:val="center"/>
              <w:rPr>
                <w:rFonts w:hint="eastAsia" w:ascii="仿宋" w:hAnsi="仿宋" w:eastAsia="仿宋" w:cs="仿宋"/>
                <w:sz w:val="21"/>
                <w:szCs w:val="21"/>
                <w:vertAlign w:val="baseline"/>
                <w:lang w:val="en-US" w:eastAsia="zh-CN"/>
              </w:rPr>
            </w:pPr>
            <w:r>
              <w:rPr>
                <w:rFonts w:hint="eastAsia" w:ascii="仿宋" w:hAnsi="仿宋" w:eastAsia="仿宋" w:cs="仿宋"/>
                <w:sz w:val="21"/>
                <w:szCs w:val="21"/>
                <w:vertAlign w:val="baseline"/>
                <w:lang w:val="en-US" w:eastAsia="zh-CN"/>
              </w:rPr>
              <w:t>手持迷你风扇</w:t>
            </w:r>
          </w:p>
        </w:tc>
        <w:tc>
          <w:tcPr>
            <w:tcW w:w="1590" w:type="pct"/>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firstLine="480" w:firstLineChars="200"/>
              <w:textAlignment w:val="auto"/>
              <w:rPr>
                <w:rFonts w:hint="eastAsia" w:ascii="仿宋" w:hAnsi="仿宋" w:eastAsia="仿宋" w:cs="仿宋"/>
                <w:color w:val="000000"/>
                <w:sz w:val="24"/>
                <w:szCs w:val="24"/>
                <w:lang w:val="en-US" w:eastAsia="zh-CN"/>
              </w:rPr>
            </w:pPr>
            <w:r>
              <w:rPr>
                <w:rFonts w:hint="eastAsia" w:ascii="仿宋" w:hAnsi="仿宋" w:eastAsia="仿宋" w:cs="仿宋"/>
                <w:color w:val="000000"/>
                <w:sz w:val="24"/>
                <w:szCs w:val="24"/>
                <w:lang w:val="en-US" w:eastAsia="zh-CN"/>
              </w:rPr>
              <w:t>1.材质：ABS环保材料；</w:t>
            </w:r>
          </w:p>
          <w:p>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firstLine="480" w:firstLineChars="200"/>
              <w:textAlignment w:val="auto"/>
              <w:rPr>
                <w:rFonts w:hint="eastAsia" w:ascii="仿宋" w:hAnsi="仿宋" w:eastAsia="仿宋" w:cs="仿宋"/>
                <w:color w:val="000000"/>
                <w:sz w:val="24"/>
                <w:szCs w:val="24"/>
                <w:lang w:val="en-US" w:eastAsia="zh-CN"/>
              </w:rPr>
            </w:pPr>
            <w:r>
              <w:rPr>
                <w:rFonts w:hint="eastAsia" w:ascii="仿宋" w:hAnsi="仿宋" w:eastAsia="仿宋" w:cs="仿宋"/>
                <w:color w:val="000000"/>
                <w:sz w:val="24"/>
                <w:szCs w:val="24"/>
                <w:lang w:val="en-US" w:eastAsia="zh-CN"/>
              </w:rPr>
              <w:t>2.扇叶：pp材质，叶片</w:t>
            </w:r>
            <w:r>
              <w:rPr>
                <w:rFonts w:hint="eastAsia" w:ascii="宋体" w:hAnsi="宋体" w:eastAsia="宋体" w:cs="宋体"/>
                <w:color w:val="000000"/>
                <w:sz w:val="24"/>
                <w:szCs w:val="24"/>
                <w:lang w:val="en-US" w:eastAsia="zh-CN"/>
              </w:rPr>
              <w:t>≧</w:t>
            </w:r>
            <w:r>
              <w:rPr>
                <w:rFonts w:hint="eastAsia" w:ascii="仿宋" w:hAnsi="仿宋" w:eastAsia="仿宋" w:cs="仿宋"/>
                <w:color w:val="000000"/>
                <w:sz w:val="24"/>
                <w:szCs w:val="24"/>
                <w:lang w:val="en-US" w:eastAsia="zh-CN"/>
              </w:rPr>
              <w:t>3片；</w:t>
            </w:r>
          </w:p>
          <w:p>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firstLine="480" w:firstLineChars="200"/>
              <w:textAlignment w:val="auto"/>
              <w:rPr>
                <w:rFonts w:hint="eastAsia" w:ascii="仿宋" w:hAnsi="仿宋" w:eastAsia="仿宋" w:cs="仿宋"/>
                <w:color w:val="000000"/>
                <w:sz w:val="24"/>
                <w:szCs w:val="24"/>
                <w:lang w:val="en-US" w:eastAsia="zh-CN"/>
              </w:rPr>
            </w:pPr>
            <w:r>
              <w:rPr>
                <w:rFonts w:hint="eastAsia" w:ascii="仿宋" w:hAnsi="仿宋" w:eastAsia="仿宋" w:cs="仿宋"/>
                <w:color w:val="000000"/>
                <w:sz w:val="24"/>
                <w:szCs w:val="24"/>
                <w:lang w:val="en-US" w:eastAsia="zh-CN"/>
              </w:rPr>
              <w:t>3.风速：三档可调；</w:t>
            </w:r>
          </w:p>
          <w:p>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firstLine="480" w:firstLineChars="200"/>
              <w:textAlignment w:val="auto"/>
              <w:rPr>
                <w:rFonts w:hint="eastAsia" w:ascii="仿宋" w:hAnsi="仿宋" w:eastAsia="仿宋" w:cs="仿宋"/>
                <w:color w:val="000000"/>
                <w:sz w:val="24"/>
                <w:szCs w:val="24"/>
                <w:lang w:val="en-US" w:eastAsia="zh-CN"/>
              </w:rPr>
            </w:pPr>
            <w:r>
              <w:rPr>
                <w:rFonts w:hint="eastAsia" w:ascii="仿宋" w:hAnsi="仿宋" w:eastAsia="仿宋" w:cs="仿宋"/>
                <w:color w:val="000000"/>
                <w:sz w:val="24"/>
                <w:szCs w:val="24"/>
                <w:lang w:val="en-US" w:eastAsia="zh-CN"/>
              </w:rPr>
              <w:t>4.尺寸：见示意图；</w:t>
            </w:r>
          </w:p>
          <w:p>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firstLine="480" w:firstLineChars="200"/>
              <w:textAlignment w:val="auto"/>
              <w:rPr>
                <w:rFonts w:hint="eastAsia" w:ascii="仿宋" w:hAnsi="仿宋" w:eastAsia="仿宋" w:cs="仿宋"/>
                <w:color w:val="000000"/>
                <w:sz w:val="24"/>
                <w:szCs w:val="24"/>
                <w:lang w:val="en-US" w:eastAsia="zh-CN"/>
              </w:rPr>
            </w:pPr>
            <w:r>
              <w:rPr>
                <w:rFonts w:hint="eastAsia" w:ascii="仿宋" w:hAnsi="仿宋" w:eastAsia="仿宋" w:cs="仿宋"/>
                <w:color w:val="000000"/>
                <w:sz w:val="24"/>
                <w:szCs w:val="24"/>
                <w:lang w:val="en-US" w:eastAsia="zh-CN"/>
              </w:rPr>
              <w:t>5.电压：5v；</w:t>
            </w:r>
          </w:p>
          <w:p>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firstLine="480" w:firstLineChars="200"/>
              <w:textAlignment w:val="auto"/>
              <w:rPr>
                <w:rFonts w:hint="eastAsia" w:ascii="仿宋" w:hAnsi="仿宋" w:eastAsia="仿宋" w:cs="仿宋"/>
                <w:color w:val="000000"/>
                <w:sz w:val="24"/>
                <w:szCs w:val="24"/>
                <w:lang w:val="en-US" w:eastAsia="zh-CN"/>
              </w:rPr>
            </w:pPr>
            <w:r>
              <w:rPr>
                <w:rFonts w:hint="eastAsia" w:ascii="仿宋" w:hAnsi="仿宋" w:eastAsia="仿宋" w:cs="仿宋"/>
                <w:color w:val="000000"/>
                <w:sz w:val="24"/>
                <w:szCs w:val="24"/>
                <w:lang w:val="en-US" w:eastAsia="zh-CN"/>
              </w:rPr>
              <w:t>6.工作时长：高速档工作大于120分钟</w:t>
            </w:r>
            <w:r>
              <w:rPr>
                <w:rFonts w:hint="eastAsia" w:ascii="仿宋" w:hAnsi="仿宋" w:eastAsia="仿宋" w:cs="仿宋"/>
                <w:b/>
                <w:bCs/>
                <w:color w:val="000000"/>
                <w:sz w:val="24"/>
                <w:szCs w:val="24"/>
                <w:lang w:val="en-US" w:eastAsia="zh-CN"/>
              </w:rPr>
              <w:t>（请潜在供应商提交样品时，将风扇电源充满，届时在评标现场进行工作时长的测试，由磋商小组根据现场测试的工作时长进行评定。）</w:t>
            </w:r>
          </w:p>
          <w:p>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firstLine="480" w:firstLineChars="200"/>
              <w:textAlignment w:val="auto"/>
              <w:rPr>
                <w:rFonts w:hint="eastAsia" w:ascii="仿宋" w:hAnsi="仿宋" w:eastAsia="仿宋" w:cs="仿宋"/>
                <w:kern w:val="2"/>
                <w:sz w:val="21"/>
                <w:szCs w:val="21"/>
                <w:vertAlign w:val="baseline"/>
                <w:lang w:val="en-US" w:eastAsia="zh-CN" w:bidi="ar-SA"/>
              </w:rPr>
            </w:pPr>
            <w:r>
              <w:rPr>
                <w:rFonts w:hint="eastAsia" w:ascii="仿宋" w:hAnsi="仿宋" w:eastAsia="仿宋" w:cs="仿宋"/>
                <w:color w:val="000000"/>
                <w:sz w:val="24"/>
                <w:szCs w:val="24"/>
                <w:lang w:val="en-US" w:eastAsia="zh-CN"/>
              </w:rPr>
              <w:t>7.参数证明文件包括但不限于第三方质量检测报告、产品使用说明书、产品彩页。</w:t>
            </w:r>
          </w:p>
        </w:tc>
        <w:tc>
          <w:tcPr>
            <w:tcW w:w="2535" w:type="pct"/>
            <w:noWrap w:val="0"/>
            <w:vAlign w:val="center"/>
          </w:tcPr>
          <w:p>
            <w:pPr>
              <w:numPr>
                <w:ilvl w:val="0"/>
                <w:numId w:val="0"/>
              </w:numPr>
              <w:ind w:left="0" w:leftChars="0" w:firstLine="0" w:firstLineChars="0"/>
              <w:jc w:val="center"/>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drawing>
                <wp:inline distT="0" distB="0" distL="114300" distR="114300">
                  <wp:extent cx="2313940" cy="4342130"/>
                  <wp:effectExtent l="0" t="0" r="10160" b="1270"/>
                  <wp:docPr id="3" name="图片 1" descr="风扇"/>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1" descr="风扇"/>
                          <pic:cNvPicPr>
                            <a:picLocks noChangeAspect="1"/>
                          </pic:cNvPicPr>
                        </pic:nvPicPr>
                        <pic:blipFill>
                          <a:blip r:embed="rId4"/>
                          <a:stretch>
                            <a:fillRect/>
                          </a:stretch>
                        </pic:blipFill>
                        <pic:spPr>
                          <a:xfrm>
                            <a:off x="0" y="0"/>
                            <a:ext cx="2313940" cy="4342130"/>
                          </a:xfrm>
                          <a:prstGeom prst="rect">
                            <a:avLst/>
                          </a:prstGeom>
                          <a:noFill/>
                          <a:ln>
                            <a:noFill/>
                          </a:ln>
                        </pic:spPr>
                      </pic:pic>
                    </a:graphicData>
                  </a:graphic>
                </wp:inline>
              </w:drawing>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46" w:hRule="atLeast"/>
        </w:trPr>
        <w:tc>
          <w:tcPr>
            <w:tcW w:w="421" w:type="pct"/>
            <w:noWrap w:val="0"/>
            <w:vAlign w:val="center"/>
          </w:tcPr>
          <w:p>
            <w:pPr>
              <w:numPr>
                <w:ilvl w:val="0"/>
                <w:numId w:val="0"/>
              </w:numPr>
              <w:jc w:val="center"/>
              <w:rPr>
                <w:rFonts w:hint="eastAsia" w:ascii="仿宋" w:hAnsi="仿宋" w:eastAsia="仿宋" w:cs="仿宋"/>
                <w:sz w:val="21"/>
                <w:szCs w:val="21"/>
                <w:vertAlign w:val="baseline"/>
                <w:lang w:val="en-US" w:eastAsia="zh-CN"/>
              </w:rPr>
            </w:pPr>
            <w:r>
              <w:rPr>
                <w:rFonts w:hint="eastAsia" w:ascii="仿宋" w:hAnsi="仿宋" w:eastAsia="仿宋" w:cs="仿宋"/>
                <w:sz w:val="21"/>
                <w:szCs w:val="21"/>
                <w:vertAlign w:val="baseline"/>
                <w:lang w:val="en-US" w:eastAsia="zh-CN"/>
              </w:rPr>
              <w:t>包二</w:t>
            </w:r>
          </w:p>
        </w:tc>
        <w:tc>
          <w:tcPr>
            <w:tcW w:w="452" w:type="pct"/>
            <w:noWrap w:val="0"/>
            <w:vAlign w:val="center"/>
          </w:tcPr>
          <w:p>
            <w:pPr>
              <w:numPr>
                <w:ilvl w:val="0"/>
                <w:numId w:val="0"/>
              </w:numPr>
              <w:ind w:left="0" w:leftChars="0" w:firstLine="0" w:firstLineChars="0"/>
              <w:jc w:val="center"/>
              <w:rPr>
                <w:rFonts w:hint="eastAsia" w:ascii="仿宋" w:hAnsi="仿宋" w:eastAsia="仿宋" w:cs="仿宋"/>
                <w:sz w:val="21"/>
                <w:szCs w:val="21"/>
                <w:vertAlign w:val="baseline"/>
                <w:lang w:val="en-US" w:eastAsia="zh-CN"/>
              </w:rPr>
            </w:pPr>
            <w:r>
              <w:rPr>
                <w:rFonts w:hint="eastAsia" w:ascii="仿宋" w:hAnsi="仿宋" w:eastAsia="仿宋" w:cs="仿宋"/>
                <w:sz w:val="21"/>
                <w:szCs w:val="21"/>
                <w:vertAlign w:val="baseline"/>
                <w:lang w:val="en-US" w:eastAsia="zh-CN"/>
              </w:rPr>
              <w:t>帆布学生笔袋</w:t>
            </w:r>
          </w:p>
        </w:tc>
        <w:tc>
          <w:tcPr>
            <w:tcW w:w="1590" w:type="pct"/>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40" w:lineRule="exact"/>
              <w:ind w:firstLine="480" w:firstLineChars="200"/>
              <w:textAlignment w:val="auto"/>
              <w:rPr>
                <w:rFonts w:hint="eastAsia" w:ascii="仿宋" w:hAnsi="仿宋" w:eastAsia="仿宋" w:cs="仿宋"/>
                <w:color w:val="000000"/>
                <w:sz w:val="24"/>
                <w:szCs w:val="24"/>
                <w:lang w:val="en-US" w:eastAsia="zh-CN"/>
              </w:rPr>
            </w:pPr>
            <w:r>
              <w:rPr>
                <w:rFonts w:hint="eastAsia" w:ascii="仿宋" w:hAnsi="仿宋" w:eastAsia="仿宋" w:cs="仿宋"/>
                <w:color w:val="000000"/>
                <w:sz w:val="24"/>
                <w:szCs w:val="24"/>
                <w:lang w:val="en-US" w:eastAsia="zh-CN"/>
              </w:rPr>
              <w:t>1.尺寸：见示意图；</w:t>
            </w:r>
          </w:p>
          <w:p>
            <w:pPr>
              <w:keepNext w:val="0"/>
              <w:keepLines w:val="0"/>
              <w:pageBreakBefore w:val="0"/>
              <w:widowControl w:val="0"/>
              <w:numPr>
                <w:ilvl w:val="0"/>
                <w:numId w:val="0"/>
              </w:numPr>
              <w:kinsoku/>
              <w:wordWrap/>
              <w:overflowPunct/>
              <w:topLinePunct w:val="0"/>
              <w:autoSpaceDE/>
              <w:autoSpaceDN/>
              <w:bidi w:val="0"/>
              <w:adjustRightInd/>
              <w:snapToGrid/>
              <w:spacing w:line="340" w:lineRule="exact"/>
              <w:ind w:firstLine="480" w:firstLineChars="200"/>
              <w:textAlignment w:val="auto"/>
              <w:rPr>
                <w:rFonts w:hint="eastAsia" w:ascii="仿宋" w:hAnsi="仿宋" w:eastAsia="仿宋" w:cs="仿宋"/>
                <w:color w:val="000000"/>
                <w:sz w:val="24"/>
                <w:szCs w:val="24"/>
                <w:lang w:val="en-US" w:eastAsia="zh-CN"/>
              </w:rPr>
            </w:pPr>
            <w:r>
              <w:rPr>
                <w:rFonts w:hint="eastAsia" w:ascii="仿宋" w:hAnsi="仿宋" w:eastAsia="仿宋" w:cs="仿宋"/>
                <w:color w:val="000000"/>
                <w:sz w:val="24"/>
                <w:szCs w:val="24"/>
                <w:lang w:val="en-US" w:eastAsia="zh-CN"/>
              </w:rPr>
              <w:t>2.材质：牛津布材质</w:t>
            </w:r>
          </w:p>
          <w:p>
            <w:pPr>
              <w:keepNext w:val="0"/>
              <w:keepLines w:val="0"/>
              <w:pageBreakBefore w:val="0"/>
              <w:widowControl w:val="0"/>
              <w:numPr>
                <w:ilvl w:val="0"/>
                <w:numId w:val="0"/>
              </w:numPr>
              <w:kinsoku/>
              <w:wordWrap/>
              <w:overflowPunct/>
              <w:topLinePunct w:val="0"/>
              <w:autoSpaceDE/>
              <w:autoSpaceDN/>
              <w:bidi w:val="0"/>
              <w:adjustRightInd/>
              <w:snapToGrid/>
              <w:spacing w:line="340" w:lineRule="exact"/>
              <w:ind w:firstLine="480" w:firstLineChars="200"/>
              <w:textAlignment w:val="auto"/>
              <w:rPr>
                <w:rFonts w:hint="eastAsia" w:ascii="仿宋" w:hAnsi="仿宋" w:eastAsia="仿宋" w:cs="仿宋"/>
                <w:color w:val="000000"/>
                <w:sz w:val="24"/>
                <w:szCs w:val="24"/>
                <w:lang w:val="en-US" w:eastAsia="zh-CN"/>
              </w:rPr>
            </w:pPr>
            <w:r>
              <w:rPr>
                <w:rFonts w:hint="eastAsia" w:ascii="仿宋" w:hAnsi="仿宋" w:eastAsia="仿宋" w:cs="仿宋"/>
                <w:color w:val="000000"/>
                <w:sz w:val="24"/>
                <w:szCs w:val="24"/>
                <w:lang w:val="en-US" w:eastAsia="zh-CN"/>
              </w:rPr>
              <w:t>3.颜色：多种颜色可选</w:t>
            </w:r>
          </w:p>
          <w:p>
            <w:pPr>
              <w:keepNext w:val="0"/>
              <w:keepLines w:val="0"/>
              <w:pageBreakBefore w:val="0"/>
              <w:widowControl w:val="0"/>
              <w:numPr>
                <w:ilvl w:val="0"/>
                <w:numId w:val="0"/>
              </w:numPr>
              <w:kinsoku/>
              <w:wordWrap/>
              <w:overflowPunct/>
              <w:topLinePunct w:val="0"/>
              <w:autoSpaceDE/>
              <w:autoSpaceDN/>
              <w:bidi w:val="0"/>
              <w:adjustRightInd/>
              <w:snapToGrid/>
              <w:spacing w:line="340" w:lineRule="exact"/>
              <w:ind w:firstLine="480" w:firstLineChars="200"/>
              <w:textAlignment w:val="auto"/>
              <w:rPr>
                <w:rFonts w:hint="eastAsia" w:ascii="仿宋" w:hAnsi="仿宋" w:eastAsia="仿宋" w:cs="仿宋"/>
                <w:color w:val="000000"/>
                <w:sz w:val="24"/>
                <w:szCs w:val="24"/>
                <w:lang w:val="en-US" w:eastAsia="zh-CN"/>
              </w:rPr>
            </w:pPr>
            <w:r>
              <w:rPr>
                <w:rFonts w:hint="eastAsia" w:ascii="仿宋" w:hAnsi="仿宋" w:eastAsia="仿宋" w:cs="仿宋"/>
                <w:color w:val="000000"/>
                <w:sz w:val="24"/>
                <w:szCs w:val="24"/>
                <w:lang w:val="en-US" w:eastAsia="zh-CN"/>
              </w:rPr>
              <w:t>4.要求：拉链顺滑易拉，多层收纳，走线工整牢固，手感舒适、携带方便。</w:t>
            </w:r>
          </w:p>
          <w:p>
            <w:pPr>
              <w:keepNext w:val="0"/>
              <w:keepLines w:val="0"/>
              <w:pageBreakBefore w:val="0"/>
              <w:widowControl w:val="0"/>
              <w:numPr>
                <w:ilvl w:val="0"/>
                <w:numId w:val="0"/>
              </w:numPr>
              <w:kinsoku/>
              <w:wordWrap/>
              <w:overflowPunct/>
              <w:topLinePunct w:val="0"/>
              <w:autoSpaceDE/>
              <w:autoSpaceDN/>
              <w:bidi w:val="0"/>
              <w:adjustRightInd/>
              <w:snapToGrid/>
              <w:spacing w:line="340" w:lineRule="exact"/>
              <w:ind w:firstLine="480" w:firstLineChars="200"/>
              <w:textAlignment w:val="auto"/>
              <w:rPr>
                <w:rFonts w:hint="default"/>
                <w:lang w:val="en-US" w:eastAsia="zh-CN"/>
              </w:rPr>
            </w:pPr>
            <w:r>
              <w:rPr>
                <w:rFonts w:hint="eastAsia" w:ascii="仿宋" w:hAnsi="仿宋" w:eastAsia="仿宋" w:cs="仿宋"/>
                <w:color w:val="000000"/>
                <w:sz w:val="24"/>
                <w:szCs w:val="24"/>
                <w:lang w:val="en-US" w:eastAsia="zh-CN"/>
              </w:rPr>
              <w:t>5.参数证明文件包括但不限于第三方质量检测报告、产品使用说明书、产品彩页。</w:t>
            </w:r>
          </w:p>
        </w:tc>
        <w:tc>
          <w:tcPr>
            <w:tcW w:w="2535" w:type="pct"/>
            <w:noWrap w:val="0"/>
            <w:vAlign w:val="center"/>
          </w:tcPr>
          <w:p>
            <w:pPr>
              <w:numPr>
                <w:ilvl w:val="0"/>
                <w:numId w:val="0"/>
              </w:numPr>
              <w:ind w:left="0" w:leftChars="0" w:firstLine="0" w:firstLineChars="0"/>
              <w:jc w:val="both"/>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drawing>
                <wp:inline distT="0" distB="0" distL="114300" distR="114300">
                  <wp:extent cx="2850515" cy="1647190"/>
                  <wp:effectExtent l="0" t="0" r="6985" b="10160"/>
                  <wp:docPr id="2" name="图片 2" descr="笔袋"/>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笔袋"/>
                          <pic:cNvPicPr>
                            <a:picLocks noChangeAspect="1"/>
                          </pic:cNvPicPr>
                        </pic:nvPicPr>
                        <pic:blipFill>
                          <a:blip r:embed="rId5"/>
                          <a:stretch>
                            <a:fillRect/>
                          </a:stretch>
                        </pic:blipFill>
                        <pic:spPr>
                          <a:xfrm>
                            <a:off x="0" y="0"/>
                            <a:ext cx="2850515" cy="1647190"/>
                          </a:xfrm>
                          <a:prstGeom prst="rect">
                            <a:avLst/>
                          </a:prstGeom>
                          <a:noFill/>
                          <a:ln>
                            <a:noFill/>
                          </a:ln>
                        </pic:spPr>
                      </pic:pic>
                    </a:graphicData>
                  </a:graphic>
                </wp:inline>
              </w:drawing>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421" w:type="pct"/>
            <w:noWrap w:val="0"/>
            <w:vAlign w:val="center"/>
          </w:tcPr>
          <w:p>
            <w:pPr>
              <w:numPr>
                <w:ilvl w:val="0"/>
                <w:numId w:val="0"/>
              </w:numPr>
              <w:jc w:val="center"/>
              <w:rPr>
                <w:rFonts w:hint="eastAsia" w:ascii="仿宋" w:hAnsi="仿宋" w:eastAsia="仿宋" w:cs="仿宋"/>
                <w:sz w:val="21"/>
                <w:szCs w:val="21"/>
                <w:vertAlign w:val="baseline"/>
                <w:lang w:val="en-US" w:eastAsia="zh-CN"/>
              </w:rPr>
            </w:pPr>
            <w:r>
              <w:rPr>
                <w:rFonts w:hint="eastAsia" w:ascii="仿宋" w:hAnsi="仿宋" w:eastAsia="仿宋" w:cs="仿宋"/>
                <w:sz w:val="21"/>
                <w:szCs w:val="21"/>
                <w:vertAlign w:val="baseline"/>
                <w:lang w:val="en-US" w:eastAsia="zh-CN"/>
              </w:rPr>
              <w:t>包三</w:t>
            </w:r>
          </w:p>
        </w:tc>
        <w:tc>
          <w:tcPr>
            <w:tcW w:w="452" w:type="pct"/>
            <w:noWrap w:val="0"/>
            <w:vAlign w:val="center"/>
          </w:tcPr>
          <w:p>
            <w:pPr>
              <w:numPr>
                <w:ilvl w:val="0"/>
                <w:numId w:val="0"/>
              </w:numPr>
              <w:ind w:left="0" w:leftChars="0" w:firstLine="0" w:firstLineChars="0"/>
              <w:jc w:val="center"/>
              <w:rPr>
                <w:rFonts w:hint="eastAsia" w:ascii="仿宋" w:hAnsi="仿宋" w:eastAsia="仿宋" w:cs="仿宋"/>
                <w:sz w:val="21"/>
                <w:szCs w:val="21"/>
                <w:vertAlign w:val="baseline"/>
                <w:lang w:val="en-US" w:eastAsia="zh-CN"/>
              </w:rPr>
            </w:pPr>
            <w:r>
              <w:rPr>
                <w:rFonts w:hint="eastAsia" w:ascii="仿宋" w:hAnsi="仿宋" w:eastAsia="仿宋" w:cs="仿宋"/>
                <w:sz w:val="21"/>
                <w:szCs w:val="21"/>
                <w:vertAlign w:val="baseline"/>
                <w:lang w:val="en-US" w:eastAsia="zh-CN"/>
              </w:rPr>
              <w:t>帆布袋</w:t>
            </w:r>
          </w:p>
        </w:tc>
        <w:tc>
          <w:tcPr>
            <w:tcW w:w="1590" w:type="pct"/>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40" w:lineRule="exact"/>
              <w:ind w:firstLine="480" w:firstLineChars="200"/>
              <w:textAlignment w:val="auto"/>
              <w:rPr>
                <w:rFonts w:hint="eastAsia" w:ascii="仿宋" w:hAnsi="仿宋" w:eastAsia="仿宋" w:cs="仿宋"/>
                <w:color w:val="000000"/>
                <w:sz w:val="24"/>
                <w:szCs w:val="24"/>
                <w:lang w:val="en-US" w:eastAsia="zh-CN"/>
              </w:rPr>
            </w:pPr>
            <w:r>
              <w:rPr>
                <w:rFonts w:hint="eastAsia" w:ascii="仿宋" w:hAnsi="仿宋" w:eastAsia="仿宋" w:cs="仿宋"/>
                <w:color w:val="000000"/>
                <w:sz w:val="24"/>
                <w:szCs w:val="24"/>
                <w:lang w:val="en-US" w:eastAsia="zh-CN"/>
              </w:rPr>
              <w:t>1.尺寸：见示意图；</w:t>
            </w:r>
          </w:p>
          <w:p>
            <w:pPr>
              <w:keepNext w:val="0"/>
              <w:keepLines w:val="0"/>
              <w:pageBreakBefore w:val="0"/>
              <w:widowControl w:val="0"/>
              <w:numPr>
                <w:ilvl w:val="0"/>
                <w:numId w:val="0"/>
              </w:numPr>
              <w:kinsoku/>
              <w:wordWrap/>
              <w:overflowPunct/>
              <w:topLinePunct w:val="0"/>
              <w:autoSpaceDE/>
              <w:autoSpaceDN/>
              <w:bidi w:val="0"/>
              <w:adjustRightInd/>
              <w:snapToGrid/>
              <w:spacing w:line="340" w:lineRule="exact"/>
              <w:ind w:firstLine="480" w:firstLineChars="200"/>
              <w:textAlignment w:val="auto"/>
              <w:rPr>
                <w:rFonts w:hint="eastAsia" w:ascii="仿宋" w:hAnsi="仿宋" w:eastAsia="仿宋" w:cs="仿宋"/>
                <w:color w:val="000000"/>
                <w:sz w:val="24"/>
                <w:szCs w:val="24"/>
                <w:lang w:val="en-US" w:eastAsia="zh-CN"/>
              </w:rPr>
            </w:pPr>
            <w:r>
              <w:rPr>
                <w:rFonts w:hint="eastAsia" w:ascii="仿宋" w:hAnsi="仿宋" w:eastAsia="仿宋" w:cs="仿宋"/>
                <w:color w:val="000000"/>
                <w:sz w:val="24"/>
                <w:szCs w:val="24"/>
                <w:lang w:val="en-US" w:eastAsia="zh-CN"/>
              </w:rPr>
              <w:t>2.材质：纯棉帆布；</w:t>
            </w:r>
          </w:p>
          <w:p>
            <w:pPr>
              <w:keepNext w:val="0"/>
              <w:keepLines w:val="0"/>
              <w:pageBreakBefore w:val="0"/>
              <w:widowControl w:val="0"/>
              <w:numPr>
                <w:ilvl w:val="0"/>
                <w:numId w:val="0"/>
              </w:numPr>
              <w:kinsoku/>
              <w:wordWrap/>
              <w:overflowPunct/>
              <w:topLinePunct w:val="0"/>
              <w:autoSpaceDE/>
              <w:autoSpaceDN/>
              <w:bidi w:val="0"/>
              <w:adjustRightInd/>
              <w:snapToGrid/>
              <w:spacing w:line="340" w:lineRule="exact"/>
              <w:ind w:firstLine="480" w:firstLineChars="200"/>
              <w:textAlignment w:val="auto"/>
              <w:rPr>
                <w:rFonts w:hint="eastAsia" w:ascii="仿宋" w:hAnsi="仿宋" w:eastAsia="仿宋" w:cs="仿宋"/>
                <w:color w:val="000000"/>
                <w:sz w:val="24"/>
                <w:szCs w:val="24"/>
                <w:lang w:val="en-US" w:eastAsia="zh-CN"/>
              </w:rPr>
            </w:pPr>
            <w:r>
              <w:rPr>
                <w:rFonts w:hint="eastAsia" w:ascii="仿宋" w:hAnsi="仿宋" w:eastAsia="仿宋" w:cs="仿宋"/>
                <w:color w:val="000000"/>
                <w:sz w:val="24"/>
                <w:szCs w:val="24"/>
                <w:lang w:val="en-US" w:eastAsia="zh-CN"/>
              </w:rPr>
              <w:t>3.款式：双层有内胆，袋口拉链，内加小拉链口袋；</w:t>
            </w:r>
          </w:p>
          <w:p>
            <w:pPr>
              <w:keepNext w:val="0"/>
              <w:keepLines w:val="0"/>
              <w:pageBreakBefore w:val="0"/>
              <w:widowControl w:val="0"/>
              <w:numPr>
                <w:ilvl w:val="0"/>
                <w:numId w:val="0"/>
              </w:numPr>
              <w:kinsoku/>
              <w:wordWrap/>
              <w:overflowPunct/>
              <w:topLinePunct w:val="0"/>
              <w:autoSpaceDE/>
              <w:autoSpaceDN/>
              <w:bidi w:val="0"/>
              <w:adjustRightInd/>
              <w:snapToGrid/>
              <w:spacing w:line="340" w:lineRule="exact"/>
              <w:ind w:firstLine="480" w:firstLineChars="200"/>
              <w:textAlignment w:val="auto"/>
              <w:rPr>
                <w:rFonts w:hint="eastAsia" w:ascii="仿宋" w:hAnsi="仿宋" w:eastAsia="仿宋" w:cs="仿宋"/>
                <w:color w:val="000000"/>
                <w:sz w:val="24"/>
                <w:szCs w:val="24"/>
                <w:lang w:val="en-US" w:eastAsia="zh-CN"/>
              </w:rPr>
            </w:pPr>
            <w:r>
              <w:rPr>
                <w:rFonts w:hint="eastAsia" w:ascii="仿宋" w:hAnsi="仿宋" w:eastAsia="仿宋" w:cs="仿宋"/>
                <w:color w:val="000000"/>
                <w:sz w:val="24"/>
                <w:szCs w:val="24"/>
                <w:lang w:val="en-US" w:eastAsia="zh-CN"/>
              </w:rPr>
              <w:t>4.要求：拉链顺滑易拉，多层收纳，走线工整牢固，手感舒适、携带方便。</w:t>
            </w:r>
          </w:p>
          <w:p>
            <w:pPr>
              <w:keepNext w:val="0"/>
              <w:keepLines w:val="0"/>
              <w:pageBreakBefore w:val="0"/>
              <w:widowControl w:val="0"/>
              <w:numPr>
                <w:ilvl w:val="0"/>
                <w:numId w:val="0"/>
              </w:numPr>
              <w:kinsoku/>
              <w:wordWrap/>
              <w:overflowPunct/>
              <w:topLinePunct w:val="0"/>
              <w:autoSpaceDE/>
              <w:autoSpaceDN/>
              <w:bidi w:val="0"/>
              <w:adjustRightInd/>
              <w:snapToGrid/>
              <w:spacing w:line="340" w:lineRule="exact"/>
              <w:ind w:firstLine="480" w:firstLineChars="200"/>
              <w:textAlignment w:val="auto"/>
              <w:rPr>
                <w:rFonts w:hint="eastAsia"/>
                <w:lang w:val="en-US" w:eastAsia="zh-CN"/>
              </w:rPr>
            </w:pPr>
            <w:r>
              <w:rPr>
                <w:rFonts w:hint="eastAsia" w:ascii="仿宋" w:hAnsi="仿宋" w:eastAsia="仿宋" w:cs="仿宋"/>
                <w:color w:val="000000"/>
                <w:sz w:val="24"/>
                <w:szCs w:val="24"/>
                <w:lang w:val="en-US" w:eastAsia="zh-CN"/>
              </w:rPr>
              <w:t>5.参数证明文件包括但不限于第三方质量检测报告、产品使用说明书、产品彩页。</w:t>
            </w:r>
          </w:p>
        </w:tc>
        <w:tc>
          <w:tcPr>
            <w:tcW w:w="2535" w:type="pct"/>
            <w:noWrap w:val="0"/>
            <w:vAlign w:val="center"/>
          </w:tcPr>
          <w:p>
            <w:pPr>
              <w:numPr>
                <w:ilvl w:val="0"/>
                <w:numId w:val="0"/>
              </w:numPr>
              <w:ind w:left="0" w:leftChars="0" w:firstLine="0" w:firstLineChars="0"/>
              <w:jc w:val="center"/>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drawing>
                <wp:inline distT="0" distB="0" distL="114300" distR="114300">
                  <wp:extent cx="1707515" cy="2368550"/>
                  <wp:effectExtent l="0" t="0" r="6985" b="12700"/>
                  <wp:docPr id="1" name="图片 3" descr="帆布袋"/>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3" descr="帆布袋"/>
                          <pic:cNvPicPr>
                            <a:picLocks noChangeAspect="1"/>
                          </pic:cNvPicPr>
                        </pic:nvPicPr>
                        <pic:blipFill>
                          <a:blip r:embed="rId6"/>
                          <a:stretch>
                            <a:fillRect/>
                          </a:stretch>
                        </pic:blipFill>
                        <pic:spPr>
                          <a:xfrm>
                            <a:off x="0" y="0"/>
                            <a:ext cx="1707515" cy="2368550"/>
                          </a:xfrm>
                          <a:prstGeom prst="rect">
                            <a:avLst/>
                          </a:prstGeom>
                          <a:noFill/>
                          <a:ln>
                            <a:noFill/>
                          </a:ln>
                        </pic:spPr>
                      </pic:pic>
                    </a:graphicData>
                  </a:graphic>
                </wp:inline>
              </w:drawing>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73" w:hRule="atLeast"/>
        </w:trPr>
        <w:tc>
          <w:tcPr>
            <w:tcW w:w="421" w:type="pct"/>
            <w:noWrap w:val="0"/>
            <w:vAlign w:val="center"/>
          </w:tcPr>
          <w:p>
            <w:pPr>
              <w:numPr>
                <w:ilvl w:val="0"/>
                <w:numId w:val="0"/>
              </w:numPr>
              <w:jc w:val="center"/>
              <w:rPr>
                <w:rFonts w:hint="eastAsia" w:ascii="仿宋" w:hAnsi="仿宋" w:eastAsia="仿宋" w:cs="仿宋"/>
                <w:sz w:val="21"/>
                <w:szCs w:val="21"/>
                <w:vertAlign w:val="baseline"/>
                <w:lang w:val="en-US" w:eastAsia="zh-CN"/>
              </w:rPr>
            </w:pPr>
            <w:r>
              <w:rPr>
                <w:rFonts w:hint="eastAsia" w:ascii="仿宋" w:hAnsi="仿宋" w:eastAsia="仿宋" w:cs="仿宋"/>
                <w:sz w:val="21"/>
                <w:szCs w:val="21"/>
                <w:vertAlign w:val="baseline"/>
                <w:lang w:val="en-US" w:eastAsia="zh-CN"/>
              </w:rPr>
              <w:t>包四</w:t>
            </w:r>
          </w:p>
        </w:tc>
        <w:tc>
          <w:tcPr>
            <w:tcW w:w="452" w:type="pct"/>
            <w:noWrap w:val="0"/>
            <w:vAlign w:val="center"/>
          </w:tcPr>
          <w:p>
            <w:pPr>
              <w:numPr>
                <w:ilvl w:val="0"/>
                <w:numId w:val="0"/>
              </w:numPr>
              <w:ind w:left="0" w:leftChars="0" w:firstLine="0" w:firstLineChars="0"/>
              <w:jc w:val="center"/>
              <w:rPr>
                <w:rFonts w:hint="eastAsia" w:ascii="仿宋" w:hAnsi="仿宋" w:eastAsia="仿宋" w:cs="仿宋"/>
                <w:sz w:val="21"/>
                <w:szCs w:val="21"/>
                <w:vertAlign w:val="baseline"/>
                <w:lang w:val="en-US" w:eastAsia="zh-CN"/>
              </w:rPr>
            </w:pPr>
            <w:r>
              <w:rPr>
                <w:rFonts w:hint="eastAsia" w:ascii="仿宋" w:hAnsi="仿宋" w:eastAsia="仿宋" w:cs="仿宋"/>
                <w:sz w:val="21"/>
                <w:szCs w:val="21"/>
                <w:vertAlign w:val="baseline"/>
                <w:lang w:val="en-US" w:eastAsia="zh-CN"/>
              </w:rPr>
              <w:t>靠（抱）枕被</w:t>
            </w:r>
          </w:p>
        </w:tc>
        <w:tc>
          <w:tcPr>
            <w:tcW w:w="1590" w:type="pct"/>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40" w:lineRule="exact"/>
              <w:ind w:firstLine="480" w:firstLineChars="200"/>
              <w:textAlignment w:val="auto"/>
              <w:rPr>
                <w:rFonts w:hint="eastAsia" w:ascii="仿宋" w:hAnsi="仿宋" w:eastAsia="仿宋" w:cs="仿宋"/>
                <w:color w:val="000000"/>
                <w:sz w:val="24"/>
                <w:szCs w:val="24"/>
                <w:lang w:val="en-US" w:eastAsia="zh-CN"/>
              </w:rPr>
            </w:pPr>
            <w:r>
              <w:rPr>
                <w:rFonts w:hint="eastAsia" w:ascii="仿宋" w:hAnsi="仿宋" w:eastAsia="仿宋" w:cs="仿宋"/>
                <w:color w:val="000000"/>
                <w:sz w:val="24"/>
                <w:szCs w:val="24"/>
                <w:lang w:val="en-US" w:eastAsia="zh-CN"/>
              </w:rPr>
              <w:t>1.规格：靠垫50*50cm</w:t>
            </w:r>
          </w:p>
          <w:p>
            <w:pPr>
              <w:keepNext w:val="0"/>
              <w:keepLines w:val="0"/>
              <w:pageBreakBefore w:val="0"/>
              <w:widowControl w:val="0"/>
              <w:numPr>
                <w:ilvl w:val="0"/>
                <w:numId w:val="0"/>
              </w:numPr>
              <w:kinsoku/>
              <w:wordWrap/>
              <w:overflowPunct/>
              <w:topLinePunct w:val="0"/>
              <w:autoSpaceDE/>
              <w:autoSpaceDN/>
              <w:bidi w:val="0"/>
              <w:adjustRightInd/>
              <w:snapToGrid/>
              <w:spacing w:line="340" w:lineRule="exact"/>
              <w:ind w:firstLine="480" w:firstLineChars="200"/>
              <w:textAlignment w:val="auto"/>
              <w:rPr>
                <w:rFonts w:hint="eastAsia" w:ascii="仿宋" w:hAnsi="仿宋" w:eastAsia="仿宋" w:cs="仿宋"/>
                <w:color w:val="000000"/>
                <w:sz w:val="24"/>
                <w:szCs w:val="24"/>
                <w:lang w:val="en-US" w:eastAsia="zh-CN"/>
              </w:rPr>
            </w:pPr>
            <w:r>
              <w:rPr>
                <w:rFonts w:hint="eastAsia" w:ascii="仿宋" w:hAnsi="仿宋" w:eastAsia="仿宋" w:cs="仿宋"/>
                <w:color w:val="000000"/>
                <w:sz w:val="24"/>
                <w:szCs w:val="24"/>
                <w:lang w:val="en-US" w:eastAsia="zh-CN"/>
              </w:rPr>
              <w:t>2.被芯（靠垫展开）：大于等于145*195cm</w:t>
            </w:r>
          </w:p>
          <w:p>
            <w:pPr>
              <w:keepNext w:val="0"/>
              <w:keepLines w:val="0"/>
              <w:pageBreakBefore w:val="0"/>
              <w:widowControl w:val="0"/>
              <w:numPr>
                <w:ilvl w:val="0"/>
                <w:numId w:val="0"/>
              </w:numPr>
              <w:kinsoku/>
              <w:wordWrap/>
              <w:overflowPunct/>
              <w:topLinePunct w:val="0"/>
              <w:autoSpaceDE/>
              <w:autoSpaceDN/>
              <w:bidi w:val="0"/>
              <w:adjustRightInd/>
              <w:snapToGrid/>
              <w:spacing w:line="340" w:lineRule="exact"/>
              <w:ind w:firstLine="480" w:firstLineChars="200"/>
              <w:textAlignment w:val="auto"/>
              <w:rPr>
                <w:rFonts w:hint="eastAsia" w:ascii="仿宋" w:hAnsi="仿宋" w:eastAsia="仿宋" w:cs="仿宋"/>
                <w:color w:val="000000"/>
                <w:sz w:val="24"/>
                <w:szCs w:val="24"/>
                <w:lang w:val="en-US" w:eastAsia="zh-CN"/>
              </w:rPr>
            </w:pPr>
            <w:r>
              <w:rPr>
                <w:rFonts w:hint="eastAsia" w:ascii="仿宋" w:hAnsi="仿宋" w:eastAsia="仿宋" w:cs="仿宋"/>
                <w:color w:val="000000"/>
                <w:sz w:val="24"/>
                <w:szCs w:val="24"/>
                <w:lang w:val="en-US" w:eastAsia="zh-CN"/>
              </w:rPr>
              <w:t>3.克重：大于850g；</w:t>
            </w:r>
          </w:p>
          <w:p>
            <w:pPr>
              <w:keepNext w:val="0"/>
              <w:keepLines w:val="0"/>
              <w:pageBreakBefore w:val="0"/>
              <w:widowControl w:val="0"/>
              <w:numPr>
                <w:ilvl w:val="0"/>
                <w:numId w:val="0"/>
              </w:numPr>
              <w:kinsoku/>
              <w:wordWrap/>
              <w:overflowPunct/>
              <w:topLinePunct w:val="0"/>
              <w:autoSpaceDE/>
              <w:autoSpaceDN/>
              <w:bidi w:val="0"/>
              <w:adjustRightInd/>
              <w:snapToGrid/>
              <w:spacing w:line="340" w:lineRule="exact"/>
              <w:ind w:firstLine="480" w:firstLineChars="200"/>
              <w:textAlignment w:val="auto"/>
              <w:rPr>
                <w:rFonts w:hint="eastAsia" w:ascii="仿宋" w:hAnsi="仿宋" w:eastAsia="仿宋" w:cs="仿宋"/>
                <w:color w:val="000000"/>
                <w:sz w:val="24"/>
                <w:szCs w:val="24"/>
                <w:lang w:val="en-US" w:eastAsia="zh-CN"/>
              </w:rPr>
            </w:pPr>
            <w:r>
              <w:rPr>
                <w:rFonts w:hint="eastAsia" w:ascii="仿宋" w:hAnsi="仿宋" w:eastAsia="仿宋" w:cs="仿宋"/>
                <w:color w:val="000000"/>
                <w:sz w:val="24"/>
                <w:szCs w:val="24"/>
                <w:lang w:val="en-US" w:eastAsia="zh-CN"/>
              </w:rPr>
              <w:t>4.面料成分：磨绒（聚酯纤维），填充物聚酯纤维；</w:t>
            </w:r>
          </w:p>
          <w:p>
            <w:pPr>
              <w:keepNext w:val="0"/>
              <w:keepLines w:val="0"/>
              <w:pageBreakBefore w:val="0"/>
              <w:widowControl w:val="0"/>
              <w:numPr>
                <w:ilvl w:val="0"/>
                <w:numId w:val="0"/>
              </w:numPr>
              <w:kinsoku/>
              <w:wordWrap/>
              <w:overflowPunct/>
              <w:topLinePunct w:val="0"/>
              <w:autoSpaceDE/>
              <w:autoSpaceDN/>
              <w:bidi w:val="0"/>
              <w:adjustRightInd/>
              <w:snapToGrid/>
              <w:spacing w:line="340" w:lineRule="exact"/>
              <w:ind w:firstLine="480" w:firstLineChars="200"/>
              <w:textAlignment w:val="auto"/>
              <w:rPr>
                <w:rFonts w:hint="eastAsia" w:ascii="仿宋" w:hAnsi="仿宋" w:eastAsia="仿宋" w:cs="仿宋"/>
                <w:color w:val="000000"/>
                <w:sz w:val="24"/>
                <w:szCs w:val="24"/>
                <w:lang w:val="en-US" w:eastAsia="zh-CN"/>
              </w:rPr>
            </w:pPr>
            <w:r>
              <w:rPr>
                <w:rFonts w:hint="eastAsia" w:ascii="仿宋" w:hAnsi="仿宋" w:eastAsia="仿宋" w:cs="仿宋"/>
                <w:color w:val="000000"/>
                <w:sz w:val="24"/>
                <w:szCs w:val="24"/>
                <w:lang w:val="en-US" w:eastAsia="zh-CN"/>
              </w:rPr>
              <w:t>5.要求：拉链顺滑易拉，走线工整牢固，手感舒适、携带方便。</w:t>
            </w:r>
          </w:p>
          <w:p>
            <w:pPr>
              <w:keepNext w:val="0"/>
              <w:keepLines w:val="0"/>
              <w:pageBreakBefore w:val="0"/>
              <w:widowControl w:val="0"/>
              <w:numPr>
                <w:ilvl w:val="0"/>
                <w:numId w:val="0"/>
              </w:numPr>
              <w:kinsoku/>
              <w:wordWrap/>
              <w:overflowPunct/>
              <w:topLinePunct w:val="0"/>
              <w:autoSpaceDE/>
              <w:autoSpaceDN/>
              <w:bidi w:val="0"/>
              <w:adjustRightInd/>
              <w:snapToGrid/>
              <w:spacing w:line="340" w:lineRule="exact"/>
              <w:ind w:firstLine="480" w:firstLineChars="200"/>
              <w:textAlignment w:val="auto"/>
              <w:rPr>
                <w:rFonts w:hint="eastAsia" w:ascii="仿宋" w:hAnsi="仿宋" w:eastAsia="仿宋" w:cs="仿宋"/>
                <w:sz w:val="21"/>
                <w:szCs w:val="21"/>
                <w:lang w:val="en-US" w:eastAsia="zh-CN"/>
              </w:rPr>
            </w:pPr>
            <w:r>
              <w:rPr>
                <w:rFonts w:hint="eastAsia" w:ascii="仿宋" w:hAnsi="仿宋" w:eastAsia="仿宋" w:cs="仿宋"/>
                <w:color w:val="000000"/>
                <w:sz w:val="24"/>
                <w:szCs w:val="24"/>
                <w:lang w:val="en-US" w:eastAsia="zh-CN"/>
              </w:rPr>
              <w:t>5.参数证明文件包括但不限于第三方质量检测报告、产品使用说明书、产品彩页。</w:t>
            </w:r>
          </w:p>
        </w:tc>
        <w:tc>
          <w:tcPr>
            <w:tcW w:w="2535" w:type="pct"/>
            <w:noWrap w:val="0"/>
            <w:vAlign w:val="center"/>
          </w:tcPr>
          <w:p>
            <w:pPr>
              <w:pStyle w:val="2"/>
              <w:ind w:left="0" w:leftChars="0" w:firstLine="0" w:firstLineChars="0"/>
              <w:rPr>
                <w:rFonts w:hint="eastAsia" w:ascii="仿宋" w:hAnsi="仿宋" w:eastAsia="仿宋" w:cs="仿宋"/>
                <w:kern w:val="0"/>
                <w:sz w:val="21"/>
                <w:szCs w:val="21"/>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33" w:hRule="atLeast"/>
        </w:trPr>
        <w:tc>
          <w:tcPr>
            <w:tcW w:w="421" w:type="pct"/>
            <w:noWrap w:val="0"/>
            <w:vAlign w:val="center"/>
          </w:tcPr>
          <w:p>
            <w:pPr>
              <w:numPr>
                <w:ilvl w:val="0"/>
                <w:numId w:val="0"/>
              </w:numPr>
              <w:jc w:val="center"/>
              <w:rPr>
                <w:rFonts w:hint="eastAsia" w:ascii="仿宋" w:hAnsi="仿宋" w:eastAsia="仿宋" w:cs="仿宋"/>
                <w:sz w:val="21"/>
                <w:szCs w:val="21"/>
                <w:vertAlign w:val="baseline"/>
                <w:lang w:val="en-US" w:eastAsia="zh-CN"/>
              </w:rPr>
            </w:pPr>
            <w:r>
              <w:rPr>
                <w:rFonts w:hint="eastAsia" w:ascii="仿宋" w:hAnsi="仿宋" w:eastAsia="仿宋" w:cs="仿宋"/>
                <w:sz w:val="21"/>
                <w:szCs w:val="21"/>
                <w:vertAlign w:val="baseline"/>
                <w:lang w:val="en-US" w:eastAsia="zh-CN"/>
              </w:rPr>
              <w:t>备注</w:t>
            </w:r>
          </w:p>
        </w:tc>
        <w:tc>
          <w:tcPr>
            <w:tcW w:w="4578" w:type="pct"/>
            <w:gridSpan w:val="3"/>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both"/>
              <w:textAlignment w:val="auto"/>
              <w:rPr>
                <w:rFonts w:hint="eastAsia" w:ascii="仿宋" w:hAnsi="仿宋" w:eastAsia="仿宋" w:cs="Times New Roman"/>
                <w:sz w:val="24"/>
                <w:szCs w:val="24"/>
                <w:lang w:val="en-US" w:eastAsia="zh-CN"/>
              </w:rPr>
            </w:pPr>
            <w:r>
              <w:rPr>
                <w:rFonts w:hint="eastAsia" w:ascii="仿宋" w:hAnsi="仿宋" w:eastAsia="仿宋" w:cs="Times New Roman"/>
                <w:sz w:val="24"/>
                <w:szCs w:val="24"/>
                <w:lang w:val="en-US" w:eastAsia="zh-CN"/>
              </w:rPr>
              <w:t>1.报价方须对所报价包内所有产品和数量进行报价，否则视为无效报价。</w:t>
            </w:r>
          </w:p>
          <w:p>
            <w:pPr>
              <w:keepNext w:val="0"/>
              <w:keepLines w:val="0"/>
              <w:pageBreakBefore w:val="0"/>
              <w:widowControl w:val="0"/>
              <w:kinsoku/>
              <w:wordWrap/>
              <w:overflowPunct/>
              <w:topLinePunct w:val="0"/>
              <w:autoSpaceDE/>
              <w:autoSpaceDN/>
              <w:bidi w:val="0"/>
              <w:adjustRightInd/>
              <w:snapToGrid/>
              <w:spacing w:line="320" w:lineRule="exact"/>
              <w:jc w:val="both"/>
              <w:textAlignment w:val="auto"/>
              <w:rPr>
                <w:rFonts w:hint="eastAsia" w:ascii="仿宋" w:hAnsi="仿宋" w:eastAsia="仿宋" w:cs="Times New Roman"/>
                <w:sz w:val="24"/>
                <w:szCs w:val="24"/>
                <w:lang w:val="en-US" w:eastAsia="zh-CN"/>
              </w:rPr>
            </w:pPr>
            <w:r>
              <w:rPr>
                <w:rFonts w:hint="eastAsia" w:ascii="仿宋" w:hAnsi="仿宋" w:eastAsia="仿宋" w:cs="Times New Roman"/>
                <w:sz w:val="24"/>
                <w:szCs w:val="24"/>
                <w:lang w:val="en-US" w:eastAsia="zh-CN"/>
              </w:rPr>
              <w:t>2.供应商的响应文件必须标明所投货物的品牌与参数，保证正品供货，提供相关资料等。</w:t>
            </w:r>
          </w:p>
          <w:p>
            <w:pPr>
              <w:pStyle w:val="2"/>
              <w:ind w:left="0" w:leftChars="0" w:firstLine="0" w:firstLineChars="0"/>
              <w:rPr>
                <w:rFonts w:hint="eastAsia" w:ascii="仿宋" w:hAnsi="仿宋" w:eastAsia="仿宋" w:cs="仿宋"/>
                <w:kern w:val="0"/>
                <w:sz w:val="22"/>
                <w:szCs w:val="22"/>
                <w:lang w:val="en-US" w:eastAsia="zh-CN" w:bidi="ar-SA"/>
              </w:rPr>
            </w:pPr>
            <w:r>
              <w:rPr>
                <w:rFonts w:hint="eastAsia" w:ascii="仿宋" w:hAnsi="仿宋" w:eastAsia="仿宋" w:cs="仿宋"/>
                <w:kern w:val="0"/>
                <w:sz w:val="22"/>
                <w:szCs w:val="22"/>
                <w:lang w:val="en-US" w:eastAsia="zh-CN" w:bidi="ar-SA"/>
              </w:rPr>
              <w:t>3.所有产品印制内容根据采购人要求进行印制。</w:t>
            </w:r>
          </w:p>
          <w:p>
            <w:pPr>
              <w:pStyle w:val="2"/>
              <w:ind w:left="0" w:leftChars="0" w:firstLine="0" w:firstLineChars="0"/>
              <w:rPr>
                <w:rFonts w:hint="default" w:ascii="仿宋" w:hAnsi="仿宋" w:eastAsia="仿宋" w:cs="仿宋"/>
                <w:kern w:val="0"/>
                <w:sz w:val="22"/>
                <w:szCs w:val="22"/>
                <w:lang w:val="en-US" w:eastAsia="zh-CN" w:bidi="ar-SA"/>
              </w:rPr>
            </w:pPr>
            <w:r>
              <w:rPr>
                <w:rFonts w:hint="eastAsia" w:ascii="仿宋" w:hAnsi="仿宋" w:eastAsia="仿宋" w:cs="仿宋"/>
                <w:b/>
                <w:bCs/>
                <w:kern w:val="0"/>
                <w:sz w:val="22"/>
                <w:szCs w:val="22"/>
                <w:lang w:val="en-US" w:eastAsia="zh-CN" w:bidi="ar-SA"/>
              </w:rPr>
              <w:t>4.技术参数中的图片为示意图，并非进行限制，报价单位可根据磋商文件中文字参数的描述提报相应的产品。</w:t>
            </w:r>
          </w:p>
        </w:tc>
      </w:tr>
    </w:tbl>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80" w:firstLineChars="200"/>
        <w:textAlignment w:val="auto"/>
        <w:rPr>
          <w:rFonts w:hint="eastAsia" w:ascii="黑体" w:hAnsi="黑体" w:eastAsia="黑体" w:cs="黑体"/>
          <w:b w:val="0"/>
          <w:bCs w:val="0"/>
          <w:sz w:val="24"/>
          <w:szCs w:val="24"/>
          <w:lang w:eastAsia="zh-CN"/>
        </w:rPr>
      </w:pPr>
      <w:r>
        <w:rPr>
          <w:rFonts w:hint="eastAsia" w:ascii="黑体" w:hAnsi="黑体" w:eastAsia="黑体" w:cs="黑体"/>
          <w:b w:val="0"/>
          <w:bCs w:val="0"/>
          <w:sz w:val="24"/>
          <w:szCs w:val="24"/>
          <w:lang w:eastAsia="zh-CN"/>
        </w:rPr>
        <w:t>二、商务要求</w:t>
      </w: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Chars="0" w:firstLine="482" w:firstLineChars="200"/>
        <w:textAlignment w:val="auto"/>
        <w:rPr>
          <w:rFonts w:hint="eastAsia" w:ascii="仿宋" w:hAnsi="仿宋" w:eastAsia="仿宋" w:cs="仿宋"/>
          <w:sz w:val="24"/>
          <w:szCs w:val="24"/>
          <w:lang w:val="en-US" w:eastAsia="zh-CN"/>
        </w:rPr>
      </w:pPr>
      <w:r>
        <w:rPr>
          <w:rFonts w:hint="eastAsia" w:ascii="仿宋" w:hAnsi="仿宋" w:eastAsia="仿宋" w:cs="仿宋"/>
          <w:b/>
          <w:bCs/>
          <w:sz w:val="24"/>
          <w:szCs w:val="24"/>
          <w:lang w:val="en-US" w:eastAsia="zh-CN"/>
        </w:rPr>
        <w:t>（一）报价要求：</w:t>
      </w:r>
      <w:r>
        <w:rPr>
          <w:rFonts w:hint="eastAsia" w:ascii="仿宋" w:hAnsi="仿宋" w:eastAsia="仿宋" w:cs="仿宋"/>
          <w:sz w:val="24"/>
          <w:szCs w:val="24"/>
          <w:lang w:val="en-US" w:eastAsia="zh-CN"/>
        </w:rPr>
        <w:t>供应商的报价应包括：人员费用、运输费用、印刷费、管理费及税金等为完成磋商文件规定全部内容所需的一切应有费用。</w:t>
      </w: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82" w:firstLineChars="200"/>
        <w:textAlignment w:val="auto"/>
        <w:rPr>
          <w:rFonts w:hint="eastAsia" w:ascii="仿宋" w:hAnsi="仿宋" w:eastAsia="仿宋" w:cs="仿宋"/>
          <w:sz w:val="24"/>
          <w:szCs w:val="24"/>
          <w:lang w:val="en-US" w:eastAsia="zh-CN"/>
        </w:rPr>
      </w:pPr>
      <w:r>
        <w:rPr>
          <w:rFonts w:hint="eastAsia" w:ascii="仿宋" w:hAnsi="仿宋" w:eastAsia="仿宋" w:cs="仿宋"/>
          <w:b/>
          <w:bCs/>
          <w:sz w:val="24"/>
          <w:szCs w:val="24"/>
          <w:lang w:val="en-US" w:eastAsia="zh-CN"/>
        </w:rPr>
        <w:t>（二）</w:t>
      </w:r>
      <w:r>
        <w:rPr>
          <w:rFonts w:hint="eastAsia" w:ascii="仿宋" w:hAnsi="仿宋" w:eastAsia="仿宋" w:cs="仿宋"/>
          <w:b/>
          <w:bCs/>
          <w:sz w:val="24"/>
          <w:szCs w:val="24"/>
          <w:lang w:eastAsia="zh-CN"/>
        </w:rPr>
        <w:t>样品要求：</w:t>
      </w:r>
      <w:r>
        <w:rPr>
          <w:rFonts w:hint="eastAsia" w:ascii="仿宋" w:hAnsi="仿宋" w:eastAsia="仿宋" w:cs="仿宋"/>
          <w:sz w:val="24"/>
          <w:szCs w:val="24"/>
          <w:lang w:eastAsia="zh-CN"/>
        </w:rPr>
        <w:t>各潜在供应商，请严格按照技术要求及标准提供，每件产品只提供</w:t>
      </w:r>
      <w:r>
        <w:rPr>
          <w:rFonts w:hint="eastAsia" w:ascii="仿宋" w:hAnsi="仿宋" w:eastAsia="仿宋" w:cs="仿宋"/>
          <w:sz w:val="24"/>
          <w:szCs w:val="24"/>
          <w:lang w:val="en-US" w:eastAsia="zh-CN"/>
        </w:rPr>
        <w:t>1份</w:t>
      </w:r>
      <w:r>
        <w:rPr>
          <w:rFonts w:hint="eastAsia" w:ascii="仿宋" w:hAnsi="仿宋" w:eastAsia="仿宋" w:cs="仿宋"/>
          <w:sz w:val="24"/>
          <w:szCs w:val="24"/>
          <w:lang w:eastAsia="zh-CN"/>
        </w:rPr>
        <w:t>样品</w:t>
      </w:r>
      <w:r>
        <w:rPr>
          <w:rFonts w:hint="eastAsia" w:ascii="仿宋" w:hAnsi="仿宋" w:eastAsia="仿宋" w:cs="仿宋"/>
          <w:sz w:val="24"/>
          <w:szCs w:val="24"/>
          <w:lang w:val="en-US" w:eastAsia="zh-CN"/>
        </w:rPr>
        <w:t>（多提供按无效标处理）。磋商时对各供应商提供的样品进行评定。（样品所产生的所有费用，各供应商自行承担。）</w:t>
      </w: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82" w:firstLineChars="200"/>
        <w:textAlignment w:val="auto"/>
        <w:rPr>
          <w:rFonts w:hint="eastAsia" w:ascii="仿宋" w:hAnsi="仿宋" w:eastAsia="仿宋" w:cs="仿宋"/>
          <w:b/>
          <w:bCs/>
          <w:sz w:val="24"/>
          <w:szCs w:val="24"/>
          <w:lang w:val="en-US" w:eastAsia="zh-CN"/>
        </w:rPr>
      </w:pPr>
      <w:r>
        <w:rPr>
          <w:rFonts w:hint="eastAsia" w:ascii="仿宋" w:hAnsi="仿宋" w:eastAsia="仿宋" w:cs="仿宋"/>
          <w:b/>
          <w:bCs/>
          <w:sz w:val="24"/>
          <w:szCs w:val="24"/>
          <w:lang w:val="en-US" w:eastAsia="zh-CN"/>
        </w:rPr>
        <w:t>（三）时间及地点要求</w:t>
      </w: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80" w:firstLineChars="200"/>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（1）时间要求：签订合同后15个工作日内完成供货及配送工作。</w:t>
      </w: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80" w:firstLineChars="200"/>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（2）交货地点：送至安庆市疾病预防控制中心</w:t>
      </w: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82" w:firstLineChars="200"/>
        <w:textAlignment w:val="auto"/>
        <w:rPr>
          <w:rFonts w:hint="eastAsia" w:ascii="仿宋" w:hAnsi="仿宋" w:eastAsia="仿宋" w:cs="仿宋"/>
          <w:b/>
          <w:bCs/>
          <w:sz w:val="24"/>
          <w:szCs w:val="24"/>
          <w:lang w:val="en-US" w:eastAsia="zh-CN"/>
        </w:rPr>
      </w:pPr>
      <w:r>
        <w:rPr>
          <w:rFonts w:hint="eastAsia" w:ascii="仿宋" w:hAnsi="仿宋" w:eastAsia="仿宋" w:cs="仿宋"/>
          <w:b/>
          <w:bCs/>
          <w:sz w:val="24"/>
          <w:szCs w:val="24"/>
          <w:lang w:val="en-US" w:eastAsia="zh-CN"/>
        </w:rPr>
        <w:t>（四）付款方式</w:t>
      </w: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80" w:firstLineChars="200"/>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全部物品到货验收合格后，10个工作日内付清货款。</w:t>
      </w: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82" w:firstLineChars="200"/>
        <w:textAlignment w:val="auto"/>
        <w:rPr>
          <w:rFonts w:hint="eastAsia" w:ascii="仿宋" w:hAnsi="仿宋" w:eastAsia="仿宋" w:cs="仿宋"/>
          <w:sz w:val="24"/>
          <w:szCs w:val="24"/>
          <w:lang w:val="en-US" w:eastAsia="zh-CN"/>
        </w:rPr>
      </w:pPr>
      <w:r>
        <w:rPr>
          <w:rFonts w:hint="eastAsia" w:ascii="仿宋" w:hAnsi="仿宋" w:eastAsia="仿宋" w:cs="仿宋"/>
          <w:b/>
          <w:bCs/>
          <w:sz w:val="24"/>
          <w:szCs w:val="24"/>
          <w:lang w:val="en-US" w:eastAsia="zh-CN"/>
        </w:rPr>
        <w:t>（五）投标保证金及履约保证金：</w:t>
      </w:r>
      <w:r>
        <w:rPr>
          <w:rFonts w:hint="eastAsia" w:ascii="仿宋" w:hAnsi="仿宋" w:eastAsia="仿宋" w:cs="仿宋"/>
          <w:sz w:val="24"/>
          <w:szCs w:val="24"/>
          <w:lang w:val="en-US" w:eastAsia="zh-CN"/>
        </w:rPr>
        <w:t>无。</w:t>
      </w: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82" w:firstLineChars="200"/>
        <w:textAlignment w:val="auto"/>
        <w:rPr>
          <w:rFonts w:hint="eastAsia" w:ascii="仿宋" w:hAnsi="仿宋" w:eastAsia="仿宋" w:cs="仿宋"/>
          <w:b/>
          <w:bCs/>
          <w:sz w:val="24"/>
          <w:szCs w:val="24"/>
          <w:lang w:val="en-US" w:eastAsia="zh-CN"/>
        </w:rPr>
      </w:pPr>
      <w:r>
        <w:rPr>
          <w:rFonts w:hint="eastAsia" w:ascii="仿宋" w:hAnsi="仿宋" w:eastAsia="仿宋" w:cs="仿宋"/>
          <w:b/>
          <w:bCs/>
          <w:sz w:val="24"/>
          <w:szCs w:val="24"/>
          <w:lang w:val="en-US" w:eastAsia="zh-CN"/>
        </w:rPr>
        <w:t>（六）验收方法及标准</w:t>
      </w: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80" w:firstLineChars="200"/>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按照成交人的样品和签订的采购合同和技术要求及标准对每一环节、标准的履约情况进行验收。验收结束后，应当出具验收书，由双方共同签署。</w:t>
      </w: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80" w:firstLineChars="200"/>
        <w:textAlignment w:val="auto"/>
        <w:rPr>
          <w:rFonts w:hint="eastAsia" w:ascii="黑体" w:hAnsi="黑体" w:eastAsia="黑体" w:cs="黑体"/>
          <w:sz w:val="24"/>
          <w:szCs w:val="24"/>
          <w:lang w:val="en-US" w:eastAsia="zh-CN"/>
        </w:rPr>
      </w:pPr>
      <w:r>
        <w:rPr>
          <w:rFonts w:hint="eastAsia" w:ascii="黑体" w:hAnsi="黑体" w:eastAsia="黑体" w:cs="黑体"/>
          <w:sz w:val="24"/>
          <w:szCs w:val="24"/>
          <w:lang w:val="en-US" w:eastAsia="zh-CN"/>
        </w:rPr>
        <w:t>四、特别说明：</w:t>
      </w: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80" w:firstLineChars="200"/>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1.成交单位的样品现场留存；未成交单位的样品，待评标结束后退回。</w:t>
      </w: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80" w:firstLineChars="200"/>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2.</w:t>
      </w:r>
      <w:r>
        <w:rPr>
          <w:rFonts w:hint="eastAsia" w:ascii="仿宋" w:hAnsi="仿宋" w:eastAsia="仿宋" w:cs="仿宋"/>
          <w:b/>
          <w:bCs/>
          <w:sz w:val="24"/>
          <w:szCs w:val="24"/>
          <w:lang w:val="en-US" w:eastAsia="zh-CN"/>
        </w:rPr>
        <w:t>提供的样品</w:t>
      </w:r>
      <w:r>
        <w:rPr>
          <w:rFonts w:hint="eastAsia" w:ascii="仿宋" w:hAnsi="仿宋" w:eastAsia="仿宋" w:cs="仿宋"/>
          <w:sz w:val="24"/>
          <w:szCs w:val="24"/>
          <w:lang w:val="en-US" w:eastAsia="zh-CN"/>
        </w:rPr>
        <w:t>无需印刷宣传标语及采购单位名称。但各潜在供应商在报价时要充分考虑成交后需要根据采购人的要求进行设计和印制宣传标语及采购单位名称的多色印刷（或刺绣）费用。</w:t>
      </w: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80" w:firstLineChars="200"/>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3.成交单位设计的标语及图样需经采购审核通过后，方可制作。</w:t>
      </w:r>
    </w:p>
    <w:bookmarkEnd w:id="1"/>
    <w:p/>
    <w:sectPr>
      <w:pgSz w:w="11906" w:h="16838"/>
      <w:pgMar w:top="1417" w:right="1134" w:bottom="1134" w:left="1134"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auto"/>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5"/>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2UzYWY5MzIxMjU4MjUwZWE0MTI1N2RmNTQ4Y2EzMDUifQ=="/>
  </w:docVars>
  <w:rsids>
    <w:rsidRoot w:val="7733092E"/>
    <w:rsid w:val="7733092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sz w:val="24"/>
      <w:szCs w:val="24"/>
      <w:lang w:val="en-US" w:eastAsia="zh-CN" w:bidi="ar-SA"/>
    </w:rPr>
  </w:style>
  <w:style w:type="character" w:default="1" w:styleId="7">
    <w:name w:val="Default Paragraph Font"/>
    <w:semiHidden/>
    <w:uiPriority w:val="0"/>
  </w:style>
  <w:style w:type="table" w:default="1" w:styleId="5">
    <w:name w:val="Normal Table"/>
    <w:semiHidden/>
    <w:uiPriority w:val="0"/>
    <w:tblPr>
      <w:tblCellMar>
        <w:top w:w="0" w:type="dxa"/>
        <w:left w:w="108" w:type="dxa"/>
        <w:bottom w:w="0" w:type="dxa"/>
        <w:right w:w="108" w:type="dxa"/>
      </w:tblCellMar>
    </w:tblPr>
  </w:style>
  <w:style w:type="paragraph" w:styleId="2">
    <w:name w:val="Body Text First Indent 2"/>
    <w:basedOn w:val="3"/>
    <w:unhideWhenUsed/>
    <w:qFormat/>
    <w:uiPriority w:val="99"/>
    <w:pPr>
      <w:widowControl w:val="0"/>
      <w:ind w:left="420" w:firstLine="420" w:firstLineChars="200"/>
      <w:jc w:val="both"/>
    </w:pPr>
    <w:rPr>
      <w:rFonts w:ascii="Times New Roman" w:hAnsi="@仿宋_GB2312" w:eastAsia="楷体_GB2312" w:cs="Times New Roman"/>
      <w:kern w:val="2"/>
      <w:sz w:val="32"/>
      <w:szCs w:val="20"/>
      <w:lang w:val="en-US" w:eastAsia="zh-CN" w:bidi="ar-SA"/>
    </w:rPr>
  </w:style>
  <w:style w:type="paragraph" w:styleId="3">
    <w:name w:val="Body Text Indent"/>
    <w:basedOn w:val="1"/>
    <w:qFormat/>
    <w:uiPriority w:val="0"/>
    <w:pPr>
      <w:ind w:firstLine="555"/>
    </w:pPr>
  </w:style>
  <w:style w:type="paragraph" w:styleId="4">
    <w:name w:val="Plain Text"/>
    <w:basedOn w:val="1"/>
    <w:qFormat/>
    <w:uiPriority w:val="0"/>
    <w:rPr>
      <w:rFonts w:ascii="宋体" w:hAnsi="Courier New" w:cs="Courier New"/>
      <w:kern w:val="2"/>
      <w:szCs w:val="21"/>
    </w:rPr>
  </w:style>
  <w:style w:type="table" w:styleId="6">
    <w:name w:val="Table Grid"/>
    <w:basedOn w:val="5"/>
    <w:uiPriority w:val="0"/>
    <w:rPr>
      <w:lang w:val="en-US" w:eastAsia="zh-CN" w:bidi="ar-SA"/>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image" Target="media/image3.jpeg"/><Relationship Id="rId5" Type="http://schemas.openxmlformats.org/officeDocument/2006/relationships/image" Target="media/image2.jpeg"/><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Office_11.1.0.13703_F1E327BC-269C-435d-A152-05C5408002CA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2023-03-13T07:58:00Z</dcterms:created>
  <dc:creator>Administrator</dc:creator>
  <cp:lastModifiedBy>Administrator</cp:lastModifiedBy>
  <dcterms:modified xsi:type="dcterms:W3CDTF">2023-03-13T07:59:04Z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D876E4BFAE2C4FE28476785BAB541AC2</vt:lpwstr>
  </property>
</Properties>
</file>