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400" w:lineRule="exact"/>
        <w:jc w:val="left"/>
        <w:outlineLvl w:val="0"/>
        <w:rPr>
          <w:rFonts w:hint="eastAsia" w:hAnsi="宋体"/>
          <w:b/>
          <w:color w:val="000000"/>
          <w:szCs w:val="24"/>
        </w:rPr>
      </w:pPr>
      <w:bookmarkStart w:id="0" w:name="_Toc20590"/>
      <w:bookmarkStart w:id="1" w:name="_Toc2130"/>
      <w:r>
        <w:rPr>
          <w:rFonts w:hint="eastAsia" w:hAnsi="宋体" w:cs="宋体"/>
          <w:b/>
          <w:color w:val="000000"/>
          <w:sz w:val="32"/>
          <w:szCs w:val="32"/>
          <w:lang w:val="zh-CN"/>
        </w:rPr>
        <w:t>附件：采购项目服务需求及技术要求</w:t>
      </w:r>
      <w:bookmarkEnd w:id="0"/>
      <w:bookmarkEnd w:id="1"/>
    </w:p>
    <w:p>
      <w:pPr>
        <w:pStyle w:val="9"/>
        <w:spacing w:line="400" w:lineRule="exact"/>
        <w:ind w:firstLine="482" w:firstLineChars="200"/>
        <w:rPr>
          <w:rFonts w:hint="eastAsia" w:ascii="仿宋" w:hAnsi="仿宋" w:eastAsia="仿宋" w:cs="仿宋"/>
          <w:b/>
          <w:bCs/>
          <w:szCs w:val="24"/>
        </w:rPr>
      </w:pPr>
      <w:bookmarkStart w:id="4" w:name="_GoBack"/>
      <w:bookmarkEnd w:id="4"/>
      <w:r>
        <w:rPr>
          <w:rFonts w:hint="eastAsia" w:ascii="仿宋" w:hAnsi="仿宋" w:eastAsia="仿宋" w:cs="仿宋"/>
          <w:b/>
          <w:bCs/>
          <w:szCs w:val="24"/>
        </w:rPr>
        <w:t>为鼓励不同品牌的充分竞争，如某设备的某技术参数或要求属于个别品牌专有，则该技术参数及要求不具有限制性，供应商可对该参数或要求进行适当调整，但这种调整整体上要优于或相当于磋商文件的相关要求，并说明调整理由，且该调整须经磋商小组审核认可。</w:t>
      </w:r>
    </w:p>
    <w:p>
      <w:pPr>
        <w:pStyle w:val="9"/>
        <w:spacing w:line="400" w:lineRule="exact"/>
        <w:ind w:firstLine="482" w:firstLineChars="200"/>
        <w:rPr>
          <w:rFonts w:hint="eastAsia" w:ascii="仿宋" w:hAnsi="仿宋" w:eastAsia="仿宋" w:cs="仿宋"/>
          <w:b/>
          <w:bCs/>
          <w:szCs w:val="24"/>
        </w:rPr>
      </w:pPr>
      <w:r>
        <w:rPr>
          <w:rFonts w:hint="eastAsia" w:ascii="仿宋" w:hAnsi="仿宋" w:eastAsia="仿宋" w:cs="仿宋"/>
          <w:b/>
          <w:bCs/>
          <w:szCs w:val="24"/>
        </w:rPr>
        <w:t>1.成交人提供的货物为进口产品的，供货时须向采购人提供所投进口产品的海关报关单等证明材料。</w:t>
      </w:r>
      <w:bookmarkStart w:id="2" w:name="_Toc24273"/>
    </w:p>
    <w:p>
      <w:pPr>
        <w:pStyle w:val="9"/>
        <w:spacing w:line="400" w:lineRule="exact"/>
        <w:ind w:firstLine="482" w:firstLineChars="200"/>
        <w:rPr>
          <w:rFonts w:hint="default" w:ascii="仿宋" w:hAnsi="仿宋" w:eastAsia="仿宋" w:cs="仿宋"/>
          <w:b/>
          <w:bCs/>
          <w:szCs w:val="24"/>
          <w:lang w:val="en-US" w:eastAsia="zh-CN"/>
        </w:rPr>
      </w:pPr>
      <w:r>
        <w:rPr>
          <w:rFonts w:hint="eastAsia" w:ascii="仿宋" w:hAnsi="仿宋" w:eastAsia="仿宋" w:cs="仿宋"/>
          <w:b/>
          <w:bCs/>
          <w:szCs w:val="24"/>
        </w:rPr>
        <w:t>2.原装进口的产品，如国内产品满足需求也可参与采购竞争。</w:t>
      </w:r>
    </w:p>
    <w:bookmarkEnd w:id="2"/>
    <w:p>
      <w:pPr>
        <w:pStyle w:val="12"/>
        <w:widowControl w:val="0"/>
        <w:numPr>
          <w:ilvl w:val="0"/>
          <w:numId w:val="1"/>
        </w:numPr>
        <w:autoSpaceDE w:val="0"/>
        <w:autoSpaceDN w:val="0"/>
        <w:adjustRightInd w:val="0"/>
        <w:spacing w:line="500" w:lineRule="exact"/>
        <w:jc w:val="both"/>
        <w:rPr>
          <w:rFonts w:hint="eastAsia" w:ascii="Times New Roman" w:hAnsi="Times New Roman" w:eastAsia="黑体"/>
          <w:sz w:val="28"/>
          <w:szCs w:val="28"/>
          <w:lang w:eastAsia="zh-CN"/>
        </w:rPr>
      </w:pPr>
      <w:bookmarkStart w:id="3" w:name="_Toc285612596"/>
      <w:r>
        <w:rPr>
          <w:rFonts w:ascii="Times New Roman" w:hAnsi="Times New Roman" w:eastAsia="黑体"/>
          <w:sz w:val="28"/>
          <w:szCs w:val="28"/>
          <w:lang w:eastAsia="zh-CN"/>
        </w:rPr>
        <w:t>技术</w:t>
      </w:r>
      <w:r>
        <w:rPr>
          <w:rFonts w:hint="eastAsia" w:ascii="Times New Roman" w:hAnsi="Times New Roman" w:eastAsia="黑体"/>
          <w:sz w:val="28"/>
          <w:szCs w:val="28"/>
          <w:lang w:eastAsia="zh-CN"/>
        </w:rPr>
        <w:t>要求</w:t>
      </w:r>
    </w:p>
    <w:tbl>
      <w:tblPr>
        <w:tblStyle w:val="10"/>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5"/>
        <w:gridCol w:w="1105"/>
        <w:gridCol w:w="679"/>
        <w:gridCol w:w="623"/>
        <w:gridCol w:w="5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39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序号</w:t>
            </w:r>
          </w:p>
        </w:tc>
        <w:tc>
          <w:tcPr>
            <w:tcW w:w="64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名称</w:t>
            </w:r>
          </w:p>
        </w:tc>
        <w:tc>
          <w:tcPr>
            <w:tcW w:w="398"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单位</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数量</w:t>
            </w:r>
          </w:p>
        </w:tc>
        <w:tc>
          <w:tcPr>
            <w:tcW w:w="31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1" w:hRule="atLeast"/>
        </w:trPr>
        <w:tc>
          <w:tcPr>
            <w:tcW w:w="390" w:type="pct"/>
            <w:tcBorders>
              <w:top w:val="single" w:color="auto"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1</w:t>
            </w:r>
          </w:p>
        </w:tc>
        <w:tc>
          <w:tcPr>
            <w:tcW w:w="649"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5B5B5B"/>
                <w:sz w:val="20"/>
                <w:szCs w:val="20"/>
                <w:u w:val="none"/>
              </w:rPr>
            </w:pPr>
            <w:r>
              <w:rPr>
                <w:rFonts w:hint="eastAsia" w:ascii="仿宋" w:hAnsi="仿宋" w:eastAsia="仿宋" w:cs="仿宋"/>
                <w:b w:val="0"/>
                <w:bCs w:val="0"/>
                <w:kern w:val="2"/>
                <w:sz w:val="28"/>
                <w:szCs w:val="28"/>
                <w:u w:val="none"/>
                <w:lang w:eastAsia="zh-CN"/>
              </w:rPr>
              <w:t>洗板机</w:t>
            </w:r>
          </w:p>
        </w:tc>
        <w:tc>
          <w:tcPr>
            <w:tcW w:w="3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5B5B5B"/>
                <w:sz w:val="24"/>
                <w:szCs w:val="24"/>
                <w:u w:val="none"/>
              </w:rPr>
            </w:pPr>
            <w:r>
              <w:rPr>
                <w:rFonts w:hint="eastAsia" w:ascii="仿宋" w:hAnsi="仿宋" w:eastAsia="仿宋" w:cs="仿宋"/>
                <w:b/>
                <w:bCs/>
                <w:i w:val="0"/>
                <w:iCs w:val="0"/>
                <w:color w:val="5B5B5B"/>
                <w:kern w:val="0"/>
                <w:sz w:val="24"/>
                <w:szCs w:val="24"/>
                <w:u w:val="none"/>
                <w:lang w:val="en-US" w:eastAsia="zh-CN" w:bidi="ar"/>
              </w:rPr>
              <w:t>台</w:t>
            </w:r>
          </w:p>
        </w:tc>
        <w:tc>
          <w:tcPr>
            <w:tcW w:w="3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5B5B5B"/>
                <w:sz w:val="24"/>
                <w:szCs w:val="24"/>
                <w:u w:val="none"/>
              </w:rPr>
            </w:pPr>
            <w:r>
              <w:rPr>
                <w:rFonts w:hint="eastAsia" w:ascii="仿宋" w:hAnsi="仿宋" w:eastAsia="仿宋" w:cs="仿宋"/>
                <w:b/>
                <w:bCs/>
                <w:i w:val="0"/>
                <w:iCs w:val="0"/>
                <w:color w:val="5B5B5B"/>
                <w:kern w:val="0"/>
                <w:sz w:val="24"/>
                <w:szCs w:val="24"/>
                <w:u w:val="none"/>
                <w:lang w:val="en-US" w:eastAsia="zh-CN" w:bidi="ar"/>
              </w:rPr>
              <w:t>1</w:t>
            </w:r>
          </w:p>
        </w:tc>
        <w:tc>
          <w:tcPr>
            <w:tcW w:w="319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1.显示屏幕:4 英寸以上液晶显示屏。</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2.可洗板条:适用于平底、U和V型底酶标板或条。</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3.冲 洗头:8或12针冲洗头，分配针和抽吸针独立。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Times New Roman"/>
                <w:sz w:val="22"/>
                <w:szCs w:val="22"/>
                <w:lang w:val="en-US" w:eastAsia="zh-CN"/>
              </w:rPr>
            </w:pPr>
            <w:r>
              <w:rPr>
                <w:rFonts w:hint="eastAsia" w:ascii="仿宋" w:hAnsi="仿宋" w:eastAsia="仿宋" w:cs="Times New Roman"/>
                <w:sz w:val="22"/>
                <w:szCs w:val="22"/>
                <w:lang w:val="en-US" w:eastAsia="zh-CN"/>
              </w:rPr>
              <w:t>★4、注液精度：≤2%</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5.清洗液量10-3000ul/孔，1ul 递增。</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★6.清洗次数:0-99 次可调。</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★7.清洗条数:1-12 排可调。</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★8.浸泡时间:0-24小时可调。</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★9.振板时间:0-24小时可调。</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Times New Roman"/>
                <w:sz w:val="22"/>
                <w:szCs w:val="22"/>
                <w:lang w:val="en-US" w:eastAsia="zh-CN"/>
              </w:rPr>
            </w:pPr>
            <w:r>
              <w:rPr>
                <w:rFonts w:hint="eastAsia" w:ascii="仿宋" w:hAnsi="仿宋" w:eastAsia="仿宋" w:cs="Times New Roman"/>
                <w:sz w:val="22"/>
                <w:szCs w:val="22"/>
                <w:lang w:val="en-US" w:eastAsia="zh-CN"/>
              </w:rPr>
              <w:t>10.洗液通道:≥3个</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11.存 储:100组以上程序。</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★12.孵育:可选配酶标板孵育功能。</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rPr>
            </w:pPr>
            <w:r>
              <w:rPr>
                <w:rFonts w:hint="eastAsia" w:ascii="仿宋" w:hAnsi="仿宋" w:eastAsia="仿宋" w:cs="Times New Roman"/>
                <w:sz w:val="22"/>
                <w:szCs w:val="22"/>
                <w:lang w:val="en-US" w:eastAsia="zh-CN"/>
              </w:rPr>
              <w:t>★13.压 力 泵:内置式压力泵。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3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kern w:val="0"/>
                <w:sz w:val="20"/>
                <w:szCs w:val="20"/>
                <w:u w:val="none"/>
                <w:lang w:val="en-US" w:eastAsia="zh-CN" w:bidi="ar"/>
              </w:rPr>
            </w:pPr>
            <w:r>
              <w:rPr>
                <w:rFonts w:hint="eastAsia" w:ascii="仿宋" w:hAnsi="仿宋" w:eastAsia="仿宋" w:cs="仿宋"/>
                <w:b/>
                <w:bCs/>
                <w:i w:val="0"/>
                <w:iCs w:val="0"/>
                <w:color w:val="5B5B5B"/>
                <w:kern w:val="0"/>
                <w:sz w:val="20"/>
                <w:szCs w:val="20"/>
                <w:u w:val="none"/>
                <w:lang w:val="en-US" w:eastAsia="zh-CN" w:bidi="ar"/>
              </w:rPr>
              <w:t>说明</w:t>
            </w:r>
          </w:p>
        </w:tc>
        <w:tc>
          <w:tcPr>
            <w:tcW w:w="4609" w:type="pct"/>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1.报价方须对所报价包内所有产品和数量进行报价，否则视为无效报价。</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2.供应商的响应文件必须标明所投货物的品牌与参数，保证原厂正品供货，提供相关资料等。</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3"/>
                <w:rFonts w:hint="eastAsia" w:ascii="仿宋" w:hAnsi="仿宋" w:eastAsia="仿宋" w:cs="仿宋"/>
                <w:color w:val="auto"/>
                <w:lang w:val="en-US" w:eastAsia="zh-CN" w:bidi="ar"/>
              </w:rPr>
            </w:pPr>
            <w:r>
              <w:rPr>
                <w:rFonts w:hint="eastAsia" w:ascii="仿宋" w:hAnsi="仿宋" w:eastAsia="仿宋" w:cs="Times New Roman"/>
                <w:sz w:val="22"/>
                <w:szCs w:val="22"/>
                <w:lang w:val="en-US" w:eastAsia="zh-CN"/>
              </w:rPr>
              <w:t>3标★项需提供技术证明文件之一（医疗器械注册证、医疗器械注册登记表、第三方检测报告、产品使用说明书）予以证明所提供的产品符合以上技术要求。原件供货时提供，需加盖原厂公章。</w:t>
            </w:r>
          </w:p>
        </w:tc>
      </w:tr>
    </w:tbl>
    <w:p>
      <w:pPr>
        <w:pStyle w:val="12"/>
        <w:widowControl w:val="0"/>
        <w:numPr>
          <w:ilvl w:val="0"/>
          <w:numId w:val="1"/>
        </w:numPr>
        <w:autoSpaceDE w:val="0"/>
        <w:autoSpaceDN w:val="0"/>
        <w:adjustRightInd w:val="0"/>
        <w:spacing w:line="500" w:lineRule="exact"/>
        <w:jc w:val="both"/>
        <w:rPr>
          <w:rFonts w:hint="eastAsia" w:ascii="Times New Roman" w:hAnsi="Times New Roman" w:eastAsia="黑体"/>
          <w:sz w:val="24"/>
          <w:szCs w:val="24"/>
          <w:lang w:val="zh-CN" w:eastAsia="zh-CN"/>
        </w:rPr>
      </w:pPr>
      <w:r>
        <w:rPr>
          <w:rFonts w:hint="eastAsia" w:ascii="Times New Roman" w:hAnsi="Times New Roman" w:eastAsia="黑体"/>
          <w:sz w:val="24"/>
          <w:szCs w:val="24"/>
          <w:lang w:val="zh-CN" w:eastAsia="zh-CN"/>
        </w:rPr>
        <w:t>商务要求</w:t>
      </w:r>
    </w:p>
    <w:bookmarkEnd w:id="3"/>
    <w:p>
      <w:pPr>
        <w:spacing w:line="400" w:lineRule="exact"/>
        <w:ind w:firstLine="482" w:firstLineChars="200"/>
        <w:rPr>
          <w:rFonts w:hint="eastAsia" w:ascii="仿宋" w:hAnsi="仿宋" w:eastAsia="仿宋" w:cs="仿宋"/>
        </w:rPr>
      </w:pPr>
      <w:r>
        <w:rPr>
          <w:rFonts w:hint="eastAsia" w:ascii="仿宋" w:hAnsi="仿宋" w:eastAsia="仿宋" w:cs="仿宋"/>
          <w:b/>
          <w:bCs/>
        </w:rPr>
        <w:t>（一）报价要求：</w:t>
      </w:r>
      <w:r>
        <w:rPr>
          <w:rFonts w:hint="eastAsia" w:ascii="仿宋" w:hAnsi="仿宋" w:eastAsia="仿宋" w:cs="仿宋"/>
        </w:rPr>
        <w:t>供应商的报价应包括：人员费用、运输费用、</w:t>
      </w:r>
      <w:r>
        <w:rPr>
          <w:rFonts w:hint="eastAsia" w:ascii="仿宋" w:hAnsi="仿宋" w:eastAsia="仿宋" w:cs="仿宋"/>
          <w:lang w:eastAsia="zh-CN"/>
        </w:rPr>
        <w:t>设备费、</w:t>
      </w:r>
      <w:r>
        <w:rPr>
          <w:rFonts w:hint="eastAsia" w:ascii="仿宋" w:hAnsi="仿宋" w:eastAsia="仿宋" w:cs="仿宋"/>
        </w:rPr>
        <w:t>管理费及税金等为完成</w:t>
      </w:r>
      <w:r>
        <w:rPr>
          <w:rFonts w:hint="eastAsia" w:ascii="仿宋" w:hAnsi="仿宋" w:eastAsia="仿宋" w:cs="仿宋"/>
          <w:lang w:eastAsia="zh-CN"/>
        </w:rPr>
        <w:t>磋商</w:t>
      </w:r>
      <w:r>
        <w:rPr>
          <w:rFonts w:hint="eastAsia" w:ascii="仿宋" w:hAnsi="仿宋" w:eastAsia="仿宋" w:cs="仿宋"/>
        </w:rPr>
        <w:t>文件规定全部内容所需的一切应有费用。</w:t>
      </w:r>
    </w:p>
    <w:p>
      <w:pPr>
        <w:spacing w:line="400" w:lineRule="exact"/>
        <w:ind w:firstLine="482" w:firstLineChars="200"/>
        <w:rPr>
          <w:rFonts w:hint="eastAsia" w:ascii="仿宋" w:hAnsi="仿宋" w:eastAsia="仿宋" w:cs="仿宋"/>
          <w:snapToGrid w:val="0"/>
          <w:lang w:val="zh-CN" w:eastAsia="zh-CN"/>
        </w:rPr>
      </w:pPr>
      <w:r>
        <w:rPr>
          <w:rFonts w:hint="eastAsia" w:ascii="仿宋" w:hAnsi="仿宋" w:eastAsia="仿宋" w:cs="仿宋"/>
          <w:b/>
          <w:bCs/>
          <w:snapToGrid w:val="0"/>
          <w:lang w:eastAsia="zh-CN"/>
        </w:rPr>
        <w:t>（二）交货地点：采购人指定地点</w:t>
      </w:r>
    </w:p>
    <w:p>
      <w:pPr>
        <w:spacing w:line="400" w:lineRule="exact"/>
        <w:ind w:firstLine="480" w:firstLineChars="200"/>
        <w:rPr>
          <w:rFonts w:hint="eastAsia" w:ascii="仿宋" w:hAnsi="仿宋" w:eastAsia="仿宋" w:cs="仿宋"/>
          <w:lang w:eastAsia="zh-CN"/>
        </w:rPr>
      </w:pPr>
      <w:r>
        <w:rPr>
          <w:rFonts w:hint="eastAsia" w:ascii="仿宋" w:hAnsi="仿宋" w:eastAsia="仿宋" w:cs="仿宋"/>
        </w:rPr>
        <w:t>（</w:t>
      </w:r>
      <w:r>
        <w:rPr>
          <w:rFonts w:hint="eastAsia" w:ascii="仿宋" w:hAnsi="仿宋" w:eastAsia="仿宋" w:cs="仿宋"/>
          <w:b/>
          <w:bCs/>
          <w:snapToGrid w:val="0"/>
          <w:lang w:eastAsia="zh-CN"/>
        </w:rPr>
        <w:t>三）人员培训要求</w:t>
      </w:r>
    </w:p>
    <w:p>
      <w:pPr>
        <w:spacing w:line="400" w:lineRule="exact"/>
        <w:ind w:firstLine="480" w:firstLineChars="200"/>
        <w:rPr>
          <w:rFonts w:hint="eastAsia" w:ascii="仿宋" w:hAnsi="仿宋" w:eastAsia="仿宋" w:cs="仿宋"/>
        </w:rPr>
      </w:pPr>
      <w:r>
        <w:rPr>
          <w:rFonts w:hint="eastAsia" w:ascii="仿宋" w:hAnsi="仿宋" w:eastAsia="仿宋" w:cs="仿宋"/>
        </w:rPr>
        <w:t>货物安装、调试、验收合格后，</w:t>
      </w:r>
      <w:r>
        <w:rPr>
          <w:rFonts w:hint="eastAsia" w:ascii="仿宋" w:hAnsi="仿宋" w:eastAsia="仿宋" w:cs="仿宋"/>
          <w:lang w:eastAsia="zh-CN"/>
        </w:rPr>
        <w:t>成交</w:t>
      </w:r>
      <w:r>
        <w:rPr>
          <w:rFonts w:hint="eastAsia" w:ascii="仿宋" w:hAnsi="仿宋" w:eastAsia="仿宋" w:cs="仿宋"/>
        </w:rPr>
        <w:t>人应对</w:t>
      </w:r>
      <w:r>
        <w:rPr>
          <w:rFonts w:hint="eastAsia" w:ascii="仿宋" w:hAnsi="仿宋" w:eastAsia="仿宋" w:cs="仿宋"/>
          <w:lang w:eastAsia="zh-CN"/>
        </w:rPr>
        <w:t>采购</w:t>
      </w:r>
      <w:r>
        <w:rPr>
          <w:rFonts w:hint="eastAsia" w:ascii="仿宋" w:hAnsi="仿宋" w:eastAsia="仿宋" w:cs="仿宋"/>
        </w:rPr>
        <w:t>人的相关人员进行免费现场培训。</w:t>
      </w:r>
    </w:p>
    <w:p>
      <w:pPr>
        <w:numPr>
          <w:ilvl w:val="0"/>
          <w:numId w:val="0"/>
        </w:numPr>
        <w:spacing w:line="400" w:lineRule="exact"/>
        <w:ind w:firstLine="482" w:firstLineChars="200"/>
        <w:rPr>
          <w:rFonts w:hint="eastAsia" w:ascii="仿宋" w:hAnsi="仿宋" w:eastAsia="仿宋" w:cs="仿宋"/>
          <w:b/>
          <w:bCs/>
          <w:snapToGrid w:val="0"/>
          <w:lang w:eastAsia="zh-CN"/>
        </w:rPr>
      </w:pPr>
      <w:r>
        <w:rPr>
          <w:rFonts w:hint="eastAsia" w:ascii="仿宋" w:hAnsi="仿宋" w:eastAsia="仿宋" w:cs="仿宋"/>
          <w:b/>
          <w:bCs/>
          <w:snapToGrid w:val="0"/>
          <w:lang w:eastAsia="zh-CN"/>
        </w:rPr>
        <w:t>（四）售后服务（提供承诺函）</w:t>
      </w:r>
    </w:p>
    <w:p>
      <w:pPr>
        <w:spacing w:line="400" w:lineRule="exact"/>
        <w:ind w:firstLine="480" w:firstLineChars="200"/>
        <w:rPr>
          <w:rFonts w:hint="eastAsia" w:eastAsia="仿宋"/>
          <w:lang w:val="en-US" w:eastAsia="zh-CN"/>
        </w:rPr>
      </w:pPr>
      <w:r>
        <w:rPr>
          <w:rFonts w:hint="eastAsia" w:ascii="仿宋" w:hAnsi="仿宋" w:eastAsia="仿宋" w:cs="仿宋"/>
          <w:snapToGrid w:val="0"/>
          <w:lang w:val="en-US" w:eastAsia="zh-CN"/>
        </w:rPr>
        <w:t>1.</w:t>
      </w:r>
      <w:r>
        <w:rPr>
          <w:rFonts w:hint="eastAsia" w:ascii="仿宋" w:hAnsi="仿宋" w:eastAsia="仿宋" w:cs="仿宋"/>
          <w:snapToGrid w:val="0"/>
          <w:lang w:val="zh-CN" w:eastAsia="zh-CN"/>
        </w:rPr>
        <w:t>投标供应商须承诺对售后服务需求提供7*24小时响应，</w:t>
      </w:r>
      <w:r>
        <w:rPr>
          <w:rFonts w:hint="eastAsia" w:ascii="仿宋" w:hAnsi="仿宋" w:eastAsia="仿宋" w:cs="仿宋"/>
          <w:snapToGrid w:val="0"/>
          <w:lang w:val="en-US" w:eastAsia="zh-CN"/>
        </w:rPr>
        <w:t>在4小时内提出解决方案并做出明确安排，24</w:t>
      </w:r>
      <w:r>
        <w:rPr>
          <w:rFonts w:hint="eastAsia" w:ascii="仿宋" w:hAnsi="仿宋" w:eastAsia="仿宋" w:cs="仿宋"/>
          <w:snapToGrid w:val="0"/>
          <w:lang w:val="zh-CN" w:eastAsia="zh-CN"/>
        </w:rPr>
        <w:t>小时内到达现场实施维修。</w:t>
      </w:r>
      <w:r>
        <w:rPr>
          <w:rFonts w:hint="eastAsia" w:ascii="仿宋" w:hAnsi="仿宋" w:eastAsia="仿宋" w:cs="仿宋"/>
          <w:snapToGrid w:val="0"/>
          <w:lang w:val="en-US" w:eastAsia="zh-CN"/>
        </w:rPr>
        <w:t>48小时以内排除故障，并分析故障原因，提出书面故障分析报告及防范措施。不能当场修复的，必须采取提供备品、备件等措施，以保证采购单位的正常使用。</w:t>
      </w:r>
    </w:p>
    <w:p>
      <w:pPr>
        <w:spacing w:line="400" w:lineRule="exact"/>
        <w:ind w:firstLine="482" w:firstLineChars="200"/>
        <w:rPr>
          <w:rFonts w:hint="eastAsia" w:ascii="仿宋" w:hAnsi="仿宋" w:eastAsia="仿宋" w:cs="仿宋"/>
          <w:lang w:eastAsia="zh-CN"/>
        </w:rPr>
      </w:pPr>
      <w:r>
        <w:rPr>
          <w:rFonts w:hint="eastAsia" w:ascii="仿宋" w:hAnsi="仿宋" w:eastAsia="仿宋" w:cs="仿宋"/>
          <w:b/>
          <w:bCs/>
          <w:lang w:val="en-US" w:eastAsia="zh-CN"/>
        </w:rPr>
        <w:t>2.</w:t>
      </w:r>
      <w:r>
        <w:rPr>
          <w:rFonts w:hint="eastAsia" w:ascii="仿宋" w:hAnsi="仿宋" w:eastAsia="仿宋" w:cs="仿宋"/>
          <w:b/>
          <w:bCs/>
        </w:rPr>
        <w:t>保修及售后服务：</w:t>
      </w:r>
      <w:r>
        <w:rPr>
          <w:rFonts w:hint="eastAsia" w:ascii="仿宋" w:hAnsi="仿宋" w:eastAsia="仿宋" w:cs="仿宋"/>
          <w:lang w:eastAsia="zh-CN"/>
        </w:rPr>
        <w:t>供应商须承诺</w:t>
      </w:r>
      <w:r>
        <w:rPr>
          <w:rFonts w:hint="eastAsia" w:ascii="仿宋" w:hAnsi="仿宋" w:eastAsia="仿宋" w:cs="仿宋"/>
        </w:rPr>
        <w:t>提供</w:t>
      </w:r>
      <w:r>
        <w:rPr>
          <w:rFonts w:hint="eastAsia" w:ascii="仿宋" w:hAnsi="仿宋" w:eastAsia="仿宋" w:cs="仿宋"/>
          <w:lang w:val="en-US" w:eastAsia="zh-CN"/>
        </w:rPr>
        <w:t>2年的免费</w:t>
      </w:r>
      <w:r>
        <w:rPr>
          <w:rFonts w:hint="eastAsia" w:ascii="仿宋" w:hAnsi="仿宋" w:eastAsia="仿宋" w:cs="仿宋"/>
        </w:rPr>
        <w:t>质保期</w:t>
      </w:r>
      <w:r>
        <w:rPr>
          <w:rFonts w:hint="eastAsia" w:ascii="仿宋" w:hAnsi="仿宋" w:eastAsia="仿宋" w:cs="仿宋"/>
          <w:lang w:eastAsia="zh-CN"/>
        </w:rPr>
        <w:t>，终身维护保养。每年不少于</w:t>
      </w:r>
      <w:r>
        <w:rPr>
          <w:rFonts w:hint="eastAsia" w:ascii="仿宋" w:hAnsi="仿宋" w:eastAsia="仿宋" w:cs="仿宋"/>
          <w:lang w:val="en-US" w:eastAsia="zh-CN"/>
        </w:rPr>
        <w:t>1次上门检测维护服务</w:t>
      </w:r>
      <w:r>
        <w:rPr>
          <w:rFonts w:hint="eastAsia" w:ascii="仿宋" w:hAnsi="仿宋" w:eastAsia="仿宋" w:cs="仿宋"/>
        </w:rPr>
        <w:t>。</w:t>
      </w:r>
      <w:r>
        <w:rPr>
          <w:rFonts w:hint="eastAsia" w:ascii="仿宋" w:hAnsi="仿宋" w:eastAsia="仿宋" w:cs="仿宋"/>
          <w:lang w:eastAsia="zh-CN"/>
        </w:rPr>
        <w:t>免费</w:t>
      </w:r>
      <w:r>
        <w:rPr>
          <w:rFonts w:hint="eastAsia" w:ascii="仿宋" w:hAnsi="仿宋" w:eastAsia="仿宋" w:cs="仿宋"/>
        </w:rPr>
        <w:t>质保期从货物验收合格后算起</w:t>
      </w:r>
      <w:r>
        <w:rPr>
          <w:rFonts w:hint="eastAsia" w:ascii="仿宋" w:hAnsi="仿宋" w:eastAsia="仿宋" w:cs="仿宋"/>
          <w:lang w:eastAsia="zh-CN"/>
        </w:rPr>
        <w:t>，</w:t>
      </w:r>
      <w:r>
        <w:rPr>
          <w:rFonts w:hint="eastAsia" w:ascii="仿宋" w:hAnsi="仿宋" w:eastAsia="仿宋" w:cs="仿宋"/>
          <w:snapToGrid w:val="0"/>
          <w:lang w:val="zh-CN"/>
        </w:rPr>
        <w:t>报价方对提供的货物在免费质保期内，因产品质量而导致的缺陷，必须免费提供包修、包换、包退服务。承诺免费质保期外只收取零配件的成本费用。</w:t>
      </w:r>
    </w:p>
    <w:p>
      <w:pPr>
        <w:spacing w:line="400" w:lineRule="exact"/>
        <w:ind w:firstLine="482" w:firstLineChars="200"/>
        <w:rPr>
          <w:rFonts w:hint="default" w:ascii="仿宋" w:hAnsi="仿宋" w:eastAsia="仿宋" w:cs="仿宋"/>
          <w:snapToGrid w:val="0"/>
          <w:lang w:val="en-US" w:eastAsia="zh-CN"/>
        </w:rPr>
      </w:pPr>
      <w:r>
        <w:rPr>
          <w:rFonts w:hint="eastAsia" w:ascii="仿宋" w:hAnsi="仿宋" w:eastAsia="仿宋" w:cs="仿宋"/>
          <w:b/>
          <w:bCs/>
          <w:lang w:val="en-US" w:eastAsia="zh-CN"/>
        </w:rPr>
        <w:t>3.供货要求：</w:t>
      </w:r>
      <w:r>
        <w:rPr>
          <w:rFonts w:hint="eastAsia" w:ascii="仿宋" w:hAnsi="仿宋" w:eastAsia="仿宋" w:cs="仿宋"/>
          <w:snapToGrid w:val="0"/>
          <w:lang w:val="en-US" w:eastAsia="zh-CN"/>
        </w:rPr>
        <w:t>供应商成交以后，采购人按批次向供应商发出供货通知书时，成交供应商应在15个日历天内完成供货，否则，采购人有权解除合同，由此造成的全部损失，由成交供应商全部承担。</w:t>
      </w:r>
    </w:p>
    <w:p>
      <w:pPr>
        <w:spacing w:line="400" w:lineRule="exact"/>
        <w:ind w:firstLine="482" w:firstLineChars="200"/>
        <w:rPr>
          <w:rFonts w:hint="eastAsia" w:ascii="仿宋" w:hAnsi="仿宋" w:eastAsia="仿宋" w:cs="仿宋"/>
        </w:rPr>
      </w:pPr>
      <w:r>
        <w:rPr>
          <w:rFonts w:hint="eastAsia" w:ascii="仿宋" w:hAnsi="仿宋" w:eastAsia="仿宋" w:cs="仿宋"/>
          <w:b/>
          <w:bCs/>
          <w:snapToGrid w:val="0"/>
          <w:lang w:val="en-US" w:eastAsia="zh-CN"/>
        </w:rPr>
        <w:t>（五）付款及结算方式：</w:t>
      </w:r>
      <w:r>
        <w:rPr>
          <w:rFonts w:hint="eastAsia" w:ascii="仿宋" w:hAnsi="仿宋" w:eastAsia="仿宋" w:cs="仿宋"/>
        </w:rPr>
        <w:t>验收合格</w:t>
      </w:r>
      <w:r>
        <w:rPr>
          <w:rFonts w:hint="eastAsia" w:ascii="仿宋" w:hAnsi="仿宋" w:eastAsia="仿宋" w:cs="仿宋"/>
          <w:snapToGrid w:val="0"/>
          <w:lang w:val="zh-CN"/>
        </w:rPr>
        <w:t>后，成交供应商按采购人要求凭国家正式发票及相关证明文件向采购人申请付款，采购人收到申请后在</w:t>
      </w:r>
      <w:r>
        <w:rPr>
          <w:rFonts w:hint="eastAsia" w:ascii="仿宋" w:hAnsi="仿宋" w:eastAsia="仿宋" w:cs="仿宋"/>
          <w:snapToGrid w:val="0"/>
          <w:lang w:val="en-US" w:eastAsia="zh-CN"/>
        </w:rPr>
        <w:t>15</w:t>
      </w:r>
      <w:r>
        <w:rPr>
          <w:rFonts w:hint="eastAsia" w:ascii="仿宋" w:hAnsi="仿宋" w:eastAsia="仿宋" w:cs="仿宋"/>
          <w:snapToGrid w:val="0"/>
          <w:lang w:val="zh-CN"/>
        </w:rPr>
        <w:t>个工作日内结清</w:t>
      </w:r>
      <w:r>
        <w:rPr>
          <w:rFonts w:hint="eastAsia" w:ascii="仿宋" w:hAnsi="仿宋" w:eastAsia="仿宋" w:cs="仿宋"/>
          <w:snapToGrid w:val="0"/>
          <w:lang w:val="zh-CN" w:eastAsia="zh-CN"/>
        </w:rPr>
        <w:t>全部</w:t>
      </w:r>
      <w:r>
        <w:rPr>
          <w:rFonts w:hint="eastAsia" w:ascii="仿宋" w:hAnsi="仿宋" w:eastAsia="仿宋" w:cs="仿宋"/>
          <w:snapToGrid w:val="0"/>
          <w:lang w:val="zh-CN"/>
        </w:rPr>
        <w:t>货款。</w:t>
      </w:r>
    </w:p>
    <w:p>
      <w:pPr>
        <w:spacing w:line="400" w:lineRule="exact"/>
        <w:ind w:firstLine="482" w:firstLineChars="200"/>
        <w:rPr>
          <w:rFonts w:hint="eastAsia" w:ascii="仿宋" w:hAnsi="仿宋" w:eastAsia="仿宋" w:cs="仿宋"/>
          <w:b/>
          <w:bCs/>
          <w:lang w:eastAsia="zh-CN"/>
        </w:rPr>
      </w:pPr>
      <w:r>
        <w:rPr>
          <w:rFonts w:hint="eastAsia" w:ascii="仿宋" w:hAnsi="仿宋" w:eastAsia="仿宋" w:cs="仿宋"/>
          <w:b/>
          <w:bCs/>
          <w:lang w:eastAsia="zh-CN"/>
        </w:rPr>
        <w:t>（六）</w:t>
      </w:r>
      <w:r>
        <w:rPr>
          <w:rFonts w:hint="eastAsia" w:ascii="仿宋" w:hAnsi="仿宋" w:eastAsia="仿宋" w:cs="仿宋"/>
          <w:snapToGrid w:val="0"/>
          <w:lang w:val="en-US" w:eastAsia="zh-CN"/>
        </w:rPr>
        <w:t>投标供应商自愿进行踏勘项目现场以获取编制报价文件和供货、安装所需的一切相关材料，如投标供应商因未及时踏勘现场而导致的报价缺项漏项或中标后无法安装、完工，投标供应商自行承担一切后果。供应商在踏勘现场中获悉的项目场地和相关的周边环境情况，供应商在编制报价文件时参考，采购人不对供应商据此作出的判断和决策负责，供应商自行负责在踏勘现场中所发生的人员伤亡和财产损失，供应商在踏勘现场发生的费用自理，在现场踏勘完成后不得无故停留。</w:t>
      </w:r>
    </w:p>
    <w:p>
      <w:pPr>
        <w:spacing w:line="400" w:lineRule="exact"/>
        <w:ind w:firstLine="482" w:firstLineChars="200"/>
        <w:rPr>
          <w:rFonts w:hint="eastAsia" w:ascii="仿宋" w:hAnsi="仿宋" w:eastAsia="仿宋" w:cs="仿宋"/>
          <w:b/>
          <w:bCs/>
        </w:rPr>
      </w:pPr>
      <w:r>
        <w:rPr>
          <w:rFonts w:hint="eastAsia" w:ascii="仿宋" w:hAnsi="仿宋" w:eastAsia="仿宋" w:cs="仿宋"/>
          <w:b/>
          <w:bCs/>
        </w:rPr>
        <w:t>（</w:t>
      </w:r>
      <w:r>
        <w:rPr>
          <w:rFonts w:hint="eastAsia" w:ascii="仿宋" w:hAnsi="仿宋" w:eastAsia="仿宋" w:cs="仿宋"/>
          <w:b/>
          <w:bCs/>
          <w:lang w:eastAsia="zh-CN"/>
        </w:rPr>
        <w:t>七</w:t>
      </w:r>
      <w:r>
        <w:rPr>
          <w:rFonts w:hint="eastAsia" w:ascii="仿宋" w:hAnsi="仿宋" w:eastAsia="仿宋" w:cs="仿宋"/>
          <w:b/>
          <w:bCs/>
        </w:rPr>
        <w:t>）验收方法及标准</w:t>
      </w:r>
    </w:p>
    <w:p>
      <w:pPr>
        <w:spacing w:line="400" w:lineRule="exact"/>
        <w:ind w:firstLine="480" w:firstLineChars="200"/>
        <w:rPr>
          <w:rFonts w:hint="eastAsia" w:ascii="仿宋" w:hAnsi="仿宋" w:eastAsia="仿宋" w:cs="仿宋"/>
        </w:rPr>
      </w:pPr>
      <w:r>
        <w:rPr>
          <w:rFonts w:hint="eastAsia" w:ascii="仿宋" w:hAnsi="仿宋" w:eastAsia="仿宋" w:cs="仿宋"/>
        </w:rPr>
        <w:t>按照签订的采购合同</w:t>
      </w:r>
      <w:r>
        <w:rPr>
          <w:rFonts w:hint="eastAsia" w:ascii="仿宋" w:hAnsi="仿宋" w:eastAsia="仿宋" w:cs="仿宋"/>
          <w:lang w:eastAsia="zh-CN"/>
        </w:rPr>
        <w:t>、</w:t>
      </w:r>
      <w:r>
        <w:rPr>
          <w:rFonts w:hint="eastAsia" w:ascii="仿宋" w:hAnsi="仿宋" w:eastAsia="仿宋" w:cs="仿宋"/>
        </w:rPr>
        <w:t>技术要求及标准对每一环节、标准的履约情况进行验收。验收结束后，应当出具验收书，由双方共同签署。</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DA2991"/>
    <w:multiLevelType w:val="multilevel"/>
    <w:tmpl w:val="39DA2991"/>
    <w:lvl w:ilvl="0" w:tentative="0">
      <w:start w:val="1"/>
      <w:numFmt w:val="chineseCountingThousand"/>
      <w:suff w:val="nothing"/>
      <w:lvlText w:val="%1、"/>
      <w:lvlJc w:val="left"/>
      <w:pPr>
        <w:ind w:left="13" w:firstLine="555"/>
      </w:pPr>
      <w:rPr>
        <w:rFonts w:hint="eastAsia" w:cs="Times New Roman"/>
        <w:b w:val="0"/>
      </w:rPr>
    </w:lvl>
    <w:lvl w:ilvl="1" w:tentative="0">
      <w:start w:val="1"/>
      <w:numFmt w:val="japaneseCounting"/>
      <w:lvlText w:val="%2、"/>
      <w:lvlJc w:val="left"/>
      <w:pPr>
        <w:ind w:left="1996" w:hanging="720"/>
      </w:pPr>
      <w:rPr>
        <w:rFonts w:hint="default" w:cs="Times New Roman"/>
      </w:rPr>
    </w:lvl>
    <w:lvl w:ilvl="2" w:tentative="0">
      <w:start w:val="1"/>
      <w:numFmt w:val="lowerRoman"/>
      <w:lvlText w:val="%3."/>
      <w:lvlJc w:val="right"/>
      <w:pPr>
        <w:ind w:left="1821" w:hanging="420"/>
      </w:pPr>
      <w:rPr>
        <w:rFonts w:cs="Times New Roman"/>
      </w:rPr>
    </w:lvl>
    <w:lvl w:ilvl="3" w:tentative="0">
      <w:start w:val="1"/>
      <w:numFmt w:val="decimal"/>
      <w:lvlText w:val="%4."/>
      <w:lvlJc w:val="left"/>
      <w:pPr>
        <w:ind w:left="2241" w:hanging="420"/>
      </w:pPr>
      <w:rPr>
        <w:rFonts w:cs="Times New Roman"/>
      </w:rPr>
    </w:lvl>
    <w:lvl w:ilvl="4" w:tentative="0">
      <w:start w:val="1"/>
      <w:numFmt w:val="lowerLetter"/>
      <w:lvlText w:val="%5)"/>
      <w:lvlJc w:val="left"/>
      <w:pPr>
        <w:ind w:left="2661" w:hanging="420"/>
      </w:pPr>
      <w:rPr>
        <w:rFonts w:cs="Times New Roman"/>
      </w:rPr>
    </w:lvl>
    <w:lvl w:ilvl="5" w:tentative="0">
      <w:start w:val="1"/>
      <w:numFmt w:val="lowerRoman"/>
      <w:lvlText w:val="%6."/>
      <w:lvlJc w:val="right"/>
      <w:pPr>
        <w:ind w:left="3081" w:hanging="420"/>
      </w:pPr>
      <w:rPr>
        <w:rFonts w:cs="Times New Roman"/>
      </w:rPr>
    </w:lvl>
    <w:lvl w:ilvl="6" w:tentative="0">
      <w:start w:val="1"/>
      <w:numFmt w:val="decimal"/>
      <w:lvlText w:val="%7."/>
      <w:lvlJc w:val="left"/>
      <w:pPr>
        <w:ind w:left="3501" w:hanging="420"/>
      </w:pPr>
      <w:rPr>
        <w:rFonts w:cs="Times New Roman"/>
      </w:rPr>
    </w:lvl>
    <w:lvl w:ilvl="7" w:tentative="0">
      <w:start w:val="1"/>
      <w:numFmt w:val="lowerLetter"/>
      <w:lvlText w:val="%8)"/>
      <w:lvlJc w:val="left"/>
      <w:pPr>
        <w:ind w:left="3921" w:hanging="420"/>
      </w:pPr>
      <w:rPr>
        <w:rFonts w:cs="Times New Roman"/>
      </w:rPr>
    </w:lvl>
    <w:lvl w:ilvl="8" w:tentative="0">
      <w:start w:val="1"/>
      <w:numFmt w:val="lowerRoman"/>
      <w:lvlText w:val="%9."/>
      <w:lvlJc w:val="right"/>
      <w:pPr>
        <w:ind w:left="4341"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zYWY5MzIxMjU4MjUwZWE0MTI1N2RmNTQ4Y2EzMDUifQ=="/>
  </w:docVars>
  <w:rsids>
    <w:rsidRoot w:val="0A4E27EA"/>
    <w:rsid w:val="0A4E27EA"/>
    <w:rsid w:val="57A36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tabs>
        <w:tab w:val="left" w:pos="0"/>
        <w:tab w:val="left" w:pos="993"/>
        <w:tab w:val="left" w:pos="1134"/>
      </w:tabs>
      <w:snapToGrid/>
      <w:spacing w:after="120" w:line="240" w:lineRule="auto"/>
      <w:ind w:left="420" w:leftChars="200" w:right="0" w:firstLine="420" w:firstLineChars="200"/>
    </w:pPr>
    <w:rPr>
      <w:rFonts w:ascii="Times New Roman" w:eastAsia="宋体"/>
      <w:spacing w:val="0"/>
      <w:sz w:val="21"/>
      <w:szCs w:val="24"/>
    </w:rPr>
  </w:style>
  <w:style w:type="paragraph" w:styleId="3">
    <w:name w:val="Body Text Indent"/>
    <w:basedOn w:val="1"/>
    <w:next w:val="4"/>
    <w:qFormat/>
    <w:uiPriority w:val="0"/>
    <w:pPr>
      <w:ind w:firstLine="555"/>
    </w:pPr>
  </w:style>
  <w:style w:type="paragraph" w:styleId="4">
    <w:name w:val="envelope return"/>
    <w:basedOn w:val="1"/>
    <w:qFormat/>
    <w:uiPriority w:val="0"/>
    <w:pPr>
      <w:snapToGrid w:val="0"/>
    </w:pPr>
    <w:rPr>
      <w:rFonts w:ascii="Arial" w:hAnsi="Arial"/>
    </w:rPr>
  </w:style>
  <w:style w:type="paragraph" w:styleId="5">
    <w:name w:val="Body Text First Indent"/>
    <w:basedOn w:val="6"/>
    <w:next w:val="8"/>
    <w:unhideWhenUsed/>
    <w:qFormat/>
    <w:uiPriority w:val="99"/>
    <w:pPr>
      <w:spacing w:after="120"/>
      <w:ind w:firstLine="420" w:firstLineChars="100"/>
    </w:pPr>
    <w:rPr>
      <w:sz w:val="21"/>
    </w:rPr>
  </w:style>
  <w:style w:type="paragraph" w:styleId="6">
    <w:name w:val="Body Text"/>
    <w:basedOn w:val="1"/>
    <w:next w:val="7"/>
    <w:qFormat/>
    <w:uiPriority w:val="0"/>
    <w:rPr>
      <w:sz w:val="21"/>
    </w:rPr>
  </w:style>
  <w:style w:type="paragraph" w:styleId="7">
    <w:name w:val="Date"/>
    <w:basedOn w:val="1"/>
    <w:next w:val="1"/>
    <w:qFormat/>
    <w:uiPriority w:val="0"/>
    <w:rPr>
      <w:b/>
      <w:sz w:val="28"/>
    </w:rPr>
  </w:style>
  <w:style w:type="paragraph" w:styleId="8">
    <w:name w:val="toc 6"/>
    <w:basedOn w:val="1"/>
    <w:next w:val="1"/>
    <w:qFormat/>
    <w:uiPriority w:val="0"/>
    <w:pPr>
      <w:ind w:left="1050"/>
      <w:jc w:val="left"/>
    </w:pPr>
    <w:rPr>
      <w:rFonts w:ascii="Calibri" w:hAnsi="Calibri" w:eastAsia="宋体" w:cs="Times New Roman"/>
      <w:sz w:val="18"/>
      <w:szCs w:val="18"/>
    </w:rPr>
  </w:style>
  <w:style w:type="paragraph" w:styleId="9">
    <w:name w:val="Plain Text"/>
    <w:basedOn w:val="1"/>
    <w:qFormat/>
    <w:uiPriority w:val="0"/>
    <w:rPr>
      <w:rFonts w:ascii="宋体" w:hAnsi="Courier New" w:cs="Courier New"/>
      <w:kern w:val="2"/>
      <w:szCs w:val="21"/>
    </w:rPr>
  </w:style>
  <w:style w:type="paragraph" w:customStyle="1" w:styleId="12">
    <w:name w:val="List Paragraph"/>
    <w:basedOn w:val="1"/>
    <w:qFormat/>
    <w:uiPriority w:val="0"/>
    <w:pPr>
      <w:widowControl/>
      <w:ind w:left="720" w:firstLine="360"/>
      <w:jc w:val="left"/>
    </w:pPr>
    <w:rPr>
      <w:rFonts w:ascii="Calibri" w:hAnsi="Calibri"/>
      <w:sz w:val="22"/>
      <w:szCs w:val="20"/>
      <w:lang w:eastAsia="en-US"/>
    </w:rPr>
  </w:style>
  <w:style w:type="character" w:customStyle="1" w:styleId="13">
    <w:name w:val="font21"/>
    <w:basedOn w:val="11"/>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1505</Words>
  <Characters>1576</Characters>
  <Lines>0</Lines>
  <Paragraphs>0</Paragraphs>
  <TotalTime>0</TotalTime>
  <ScaleCrop>false</ScaleCrop>
  <LinksUpToDate>false</LinksUpToDate>
  <CharactersWithSpaces>1576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2023-03-14T07:28:00Z</dcterms:created>
  <dc:creator>Administrator</dc:creator>
  <cp:lastModifiedBy>Administrator</cp:lastModifiedBy>
  <dcterms:modified xsi:type="dcterms:W3CDTF">2023-04-13T06:10:18Z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58EF9990B2D247208BD9129111F6FDD9</vt:lpwstr>
  </property>
</Properties>
</file>