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bookmarkStart w:id="3" w:name="_GoBack"/>
      <w:r>
        <w:rPr>
          <w:rFonts w:hint="eastAsia" w:ascii="宋体" w:hAnsi="宋体" w:cs="宋体"/>
          <w:b/>
          <w:color w:val="000000"/>
          <w:sz w:val="32"/>
          <w:szCs w:val="32"/>
        </w:rPr>
        <w:t>采购</w:t>
      </w:r>
      <w:r>
        <w:rPr>
          <w:rFonts w:hint="eastAsia" w:ascii="方正小标宋_GBK" w:hAnsi="方正小标宋_GBK" w:eastAsia="方正小标宋_GBK" w:cs="方正小标宋_GBK"/>
          <w:sz w:val="32"/>
          <w:szCs w:val="32"/>
        </w:rPr>
        <w:t>项目需求及技术要求</w:t>
      </w:r>
    </w:p>
    <w:bookmarkEnd w:id="3"/>
    <w:p>
      <w:pPr>
        <w:rPr>
          <w:b/>
          <w:bCs/>
          <w:sz w:val="32"/>
          <w:szCs w:val="32"/>
        </w:rPr>
      </w:pPr>
    </w:p>
    <w:p>
      <w:pPr>
        <w:numPr>
          <w:ilvl w:val="0"/>
          <w:numId w:val="1"/>
        </w:numPr>
        <w:spacing w:line="400" w:lineRule="exact"/>
        <w:ind w:firstLine="480" w:firstLineChars="200"/>
        <w:rPr>
          <w:rFonts w:ascii="黑体" w:hAnsi="黑体" w:eastAsia="黑体" w:cs="黑体"/>
        </w:rPr>
      </w:pPr>
      <w:r>
        <w:rPr>
          <w:rFonts w:hint="eastAsia" w:ascii="黑体" w:hAnsi="黑体" w:eastAsia="黑体" w:cs="黑体"/>
        </w:rPr>
        <w:t>采购需求一览表及技术要求</w:t>
      </w:r>
    </w:p>
    <w:tbl>
      <w:tblPr>
        <w:tblStyle w:val="9"/>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791"/>
        <w:gridCol w:w="4977"/>
        <w:gridCol w:w="955"/>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84" w:type="dxa"/>
            <w:vAlign w:val="center"/>
          </w:tcPr>
          <w:p>
            <w:pPr>
              <w:rPr>
                <w:rFonts w:ascii="仿宋" w:hAnsi="仿宋" w:eastAsia="仿宋" w:cs="仿宋"/>
                <w:b/>
                <w:bCs/>
                <w:color w:val="000000"/>
              </w:rPr>
            </w:pPr>
            <w:r>
              <w:rPr>
                <w:rFonts w:hint="eastAsia" w:ascii="仿宋" w:hAnsi="仿宋" w:eastAsia="仿宋" w:cs="仿宋"/>
                <w:b/>
                <w:bCs/>
                <w:color w:val="000000"/>
              </w:rPr>
              <w:t>序号</w:t>
            </w:r>
          </w:p>
        </w:tc>
        <w:tc>
          <w:tcPr>
            <w:tcW w:w="791" w:type="dxa"/>
            <w:vAlign w:val="center"/>
          </w:tcPr>
          <w:p>
            <w:pPr>
              <w:jc w:val="center"/>
              <w:rPr>
                <w:rFonts w:ascii="仿宋" w:hAnsi="仿宋" w:eastAsia="仿宋" w:cs="仿宋"/>
                <w:b/>
                <w:bCs/>
                <w:color w:val="000000"/>
              </w:rPr>
            </w:pPr>
            <w:r>
              <w:rPr>
                <w:rFonts w:hint="eastAsia" w:ascii="仿宋" w:hAnsi="仿宋" w:eastAsia="仿宋" w:cs="仿宋"/>
                <w:b/>
                <w:bCs/>
                <w:color w:val="000000"/>
              </w:rPr>
              <w:t>名称</w:t>
            </w:r>
          </w:p>
        </w:tc>
        <w:tc>
          <w:tcPr>
            <w:tcW w:w="4977" w:type="dxa"/>
            <w:vAlign w:val="center"/>
          </w:tcPr>
          <w:p>
            <w:pPr>
              <w:jc w:val="center"/>
              <w:rPr>
                <w:rFonts w:ascii="仿宋" w:hAnsi="仿宋" w:eastAsia="仿宋" w:cs="仿宋"/>
                <w:b/>
                <w:bCs/>
                <w:color w:val="000000"/>
              </w:rPr>
            </w:pPr>
            <w:r>
              <w:rPr>
                <w:rFonts w:hint="eastAsia" w:ascii="仿宋" w:hAnsi="仿宋" w:eastAsia="仿宋" w:cs="仿宋"/>
                <w:b/>
                <w:bCs/>
                <w:color w:val="000000"/>
              </w:rPr>
              <w:t>技术参数和规格型号</w:t>
            </w:r>
          </w:p>
        </w:tc>
        <w:tc>
          <w:tcPr>
            <w:tcW w:w="955" w:type="dxa"/>
            <w:vAlign w:val="center"/>
          </w:tcPr>
          <w:p>
            <w:pPr>
              <w:jc w:val="center"/>
              <w:rPr>
                <w:rFonts w:ascii="仿宋" w:hAnsi="仿宋" w:eastAsia="仿宋" w:cs="仿宋"/>
                <w:b/>
                <w:bCs/>
                <w:color w:val="000000"/>
              </w:rPr>
            </w:pPr>
            <w:r>
              <w:rPr>
                <w:rFonts w:hint="eastAsia" w:ascii="仿宋" w:hAnsi="仿宋" w:eastAsia="仿宋" w:cs="仿宋"/>
                <w:b/>
                <w:bCs/>
                <w:color w:val="000000"/>
              </w:rPr>
              <w:t>数量</w:t>
            </w:r>
          </w:p>
        </w:tc>
        <w:tc>
          <w:tcPr>
            <w:tcW w:w="2603" w:type="dxa"/>
            <w:vAlign w:val="center"/>
          </w:tcPr>
          <w:p>
            <w:pPr>
              <w:jc w:val="center"/>
              <w:rPr>
                <w:rFonts w:ascii="仿宋" w:hAnsi="仿宋" w:eastAsia="仿宋" w:cs="仿宋"/>
                <w:b/>
                <w:bCs/>
                <w:color w:val="000000"/>
              </w:rPr>
            </w:pPr>
            <w:r>
              <w:rPr>
                <w:rFonts w:hint="eastAsia" w:ascii="仿宋" w:hAnsi="仿宋" w:eastAsia="仿宋" w:cs="仿宋"/>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vAlign w:val="center"/>
          </w:tcPr>
          <w:p>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791" w:type="dxa"/>
            <w:vAlign w:val="center"/>
          </w:tcPr>
          <w:p>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住宿场所</w:t>
            </w:r>
          </w:p>
        </w:tc>
        <w:tc>
          <w:tcPr>
            <w:tcW w:w="4977" w:type="dxa"/>
            <w:vAlign w:val="center"/>
          </w:tcPr>
          <w:p>
            <w:pPr>
              <w:widowControl/>
              <w:spacing w:line="280" w:lineRule="exact"/>
              <w:rPr>
                <w:rFonts w:ascii="仿宋" w:hAnsi="仿宋" w:eastAsia="仿宋" w:cs="仿宋"/>
                <w:sz w:val="22"/>
                <w:szCs w:val="22"/>
              </w:rPr>
            </w:pPr>
            <w:bookmarkStart w:id="0" w:name="_Hlk60922711"/>
            <w:r>
              <w:rPr>
                <w:rFonts w:hint="eastAsia" w:ascii="仿宋" w:hAnsi="仿宋" w:eastAsia="仿宋" w:cs="仿宋"/>
                <w:sz w:val="22"/>
                <w:szCs w:val="22"/>
              </w:rPr>
              <w:t>室内环境的温度、湿度、噪声</w:t>
            </w:r>
            <w:bookmarkEnd w:id="0"/>
            <w:r>
              <w:rPr>
                <w:rFonts w:hint="eastAsia" w:ascii="仿宋" w:hAnsi="仿宋" w:eastAsia="仿宋" w:cs="仿宋"/>
                <w:sz w:val="22"/>
                <w:szCs w:val="22"/>
              </w:rPr>
              <w:t>、风速，室内空气中的苯、甲苯、二甲苯、甲醛、CO、CO</w:t>
            </w:r>
            <w:r>
              <w:rPr>
                <w:rFonts w:hint="eastAsia" w:ascii="仿宋" w:hAnsi="仿宋" w:eastAsia="仿宋" w:cs="仿宋"/>
                <w:sz w:val="22"/>
                <w:szCs w:val="22"/>
                <w:vertAlign w:val="subscript"/>
              </w:rPr>
              <w:t>2</w:t>
            </w:r>
            <w:r>
              <w:rPr>
                <w:rFonts w:hint="eastAsia" w:ascii="仿宋" w:hAnsi="仿宋" w:eastAsia="仿宋" w:cs="仿宋"/>
                <w:sz w:val="22"/>
                <w:szCs w:val="22"/>
              </w:rPr>
              <w:t>、菌落总数、真菌总数、PM</w:t>
            </w:r>
            <w:r>
              <w:rPr>
                <w:rFonts w:hint="eastAsia" w:ascii="仿宋" w:hAnsi="仿宋" w:eastAsia="仿宋" w:cs="仿宋"/>
                <w:sz w:val="22"/>
                <w:szCs w:val="22"/>
                <w:vertAlign w:val="subscript"/>
              </w:rPr>
              <w:t>10</w:t>
            </w:r>
            <w:r>
              <w:rPr>
                <w:rFonts w:hint="eastAsia" w:ascii="仿宋" w:hAnsi="仿宋" w:eastAsia="仿宋" w:cs="仿宋"/>
                <w:sz w:val="22"/>
                <w:szCs w:val="22"/>
              </w:rPr>
              <w:t>、PM</w:t>
            </w:r>
            <w:r>
              <w:rPr>
                <w:rFonts w:hint="eastAsia" w:ascii="仿宋" w:hAnsi="仿宋" w:eastAsia="仿宋" w:cs="仿宋"/>
                <w:sz w:val="22"/>
                <w:szCs w:val="22"/>
                <w:vertAlign w:val="subscript"/>
              </w:rPr>
              <w:t>2.5</w:t>
            </w:r>
            <w:r>
              <w:rPr>
                <w:rFonts w:hint="eastAsia" w:ascii="仿宋" w:hAnsi="仿宋" w:eastAsia="仿宋" w:cs="仿宋"/>
                <w:sz w:val="22"/>
                <w:szCs w:val="22"/>
              </w:rPr>
              <w:t>，毛巾、漱口杯及公用电梯按钮等公共用品用具（设施）的菌落总数、大肠菌群、金黄色葡萄球菌，毛巾的pH值以及集中空调冷却塔冷却水（仅适用于有开放式冷却塔的三星级以上宾馆）中的嗜肺军团菌。</w:t>
            </w:r>
          </w:p>
        </w:tc>
        <w:tc>
          <w:tcPr>
            <w:tcW w:w="955" w:type="dxa"/>
            <w:vAlign w:val="center"/>
          </w:tcPr>
          <w:p>
            <w:pPr>
              <w:widowControl/>
              <w:spacing w:line="280" w:lineRule="exact"/>
              <w:jc w:val="center"/>
              <w:rPr>
                <w:rFonts w:ascii="仿宋" w:hAnsi="仿宋" w:eastAsia="仿宋" w:cs="仿宋"/>
                <w:sz w:val="22"/>
                <w:szCs w:val="22"/>
              </w:rPr>
            </w:pPr>
            <w:r>
              <w:rPr>
                <w:rFonts w:hint="eastAsia" w:ascii="仿宋" w:hAnsi="仿宋" w:eastAsia="仿宋" w:cs="仿宋"/>
                <w:sz w:val="22"/>
                <w:szCs w:val="22"/>
              </w:rPr>
              <w:t>18*2次</w:t>
            </w:r>
          </w:p>
        </w:tc>
        <w:tc>
          <w:tcPr>
            <w:tcW w:w="2603"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温度、湿度、噪声、风速、CO、CO</w:t>
            </w:r>
            <w:r>
              <w:rPr>
                <w:rFonts w:hint="eastAsia" w:ascii="仿宋" w:hAnsi="仿宋" w:eastAsia="仿宋" w:cs="仿宋"/>
                <w:sz w:val="22"/>
                <w:szCs w:val="22"/>
                <w:vertAlign w:val="subscript"/>
              </w:rPr>
              <w:t>2</w:t>
            </w:r>
            <w:r>
              <w:rPr>
                <w:rFonts w:hint="eastAsia" w:ascii="仿宋" w:hAnsi="仿宋" w:eastAsia="仿宋" w:cs="仿宋"/>
                <w:sz w:val="22"/>
                <w:szCs w:val="22"/>
              </w:rPr>
              <w:t>、PM</w:t>
            </w:r>
            <w:r>
              <w:rPr>
                <w:rFonts w:hint="eastAsia" w:ascii="仿宋" w:hAnsi="仿宋" w:eastAsia="仿宋" w:cs="仿宋"/>
                <w:sz w:val="22"/>
                <w:szCs w:val="22"/>
                <w:vertAlign w:val="subscript"/>
              </w:rPr>
              <w:t>10</w:t>
            </w:r>
            <w:r>
              <w:rPr>
                <w:rFonts w:hint="eastAsia" w:ascii="仿宋" w:hAnsi="仿宋" w:eastAsia="仿宋" w:cs="仿宋"/>
                <w:sz w:val="22"/>
                <w:szCs w:val="22"/>
              </w:rPr>
              <w:t>、PM</w:t>
            </w:r>
            <w:r>
              <w:rPr>
                <w:rFonts w:hint="eastAsia" w:ascii="仿宋" w:hAnsi="仿宋" w:eastAsia="仿宋" w:cs="仿宋"/>
                <w:sz w:val="22"/>
                <w:szCs w:val="22"/>
                <w:vertAlign w:val="subscript"/>
              </w:rPr>
              <w:t>2.5</w:t>
            </w:r>
            <w:r>
              <w:rPr>
                <w:rFonts w:hint="eastAsia" w:ascii="仿宋" w:hAnsi="仿宋" w:eastAsia="仿宋" w:cs="仿宋"/>
                <w:sz w:val="22"/>
                <w:szCs w:val="22"/>
              </w:rPr>
              <w:t>为现场检测；</w:t>
            </w:r>
            <w:r>
              <w:rPr>
                <w:rFonts w:ascii="仿宋" w:hAnsi="仿宋" w:eastAsia="仿宋" w:cs="仿宋"/>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vAlign w:val="center"/>
          </w:tcPr>
          <w:p>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791" w:type="dxa"/>
            <w:vAlign w:val="center"/>
          </w:tcPr>
          <w:p>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沐浴场所</w:t>
            </w:r>
          </w:p>
        </w:tc>
        <w:tc>
          <w:tcPr>
            <w:tcW w:w="4977"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室内环境的温度、湿度、噪声、风速，淋浴水中嗜肺军团菌，浴池水中浑浊度、消毒剂余量、大肠菌群，毛巾、浴衣的菌落总数、大肠菌群、金黄色葡萄球菌，毛巾pH，拖鞋的菌落总数和真菌总数。</w:t>
            </w:r>
          </w:p>
        </w:tc>
        <w:tc>
          <w:tcPr>
            <w:tcW w:w="955" w:type="dxa"/>
            <w:vAlign w:val="center"/>
          </w:tcPr>
          <w:p>
            <w:pPr>
              <w:widowControl/>
              <w:spacing w:line="280" w:lineRule="exact"/>
              <w:jc w:val="center"/>
              <w:rPr>
                <w:rFonts w:ascii="仿宋" w:hAnsi="仿宋" w:eastAsia="仿宋" w:cs="仿宋"/>
                <w:sz w:val="22"/>
                <w:szCs w:val="22"/>
              </w:rPr>
            </w:pPr>
            <w:r>
              <w:rPr>
                <w:rFonts w:hint="eastAsia" w:ascii="仿宋" w:hAnsi="仿宋" w:eastAsia="仿宋" w:cs="仿宋"/>
                <w:sz w:val="22"/>
                <w:szCs w:val="22"/>
              </w:rPr>
              <w:t>4*2次</w:t>
            </w:r>
          </w:p>
        </w:tc>
        <w:tc>
          <w:tcPr>
            <w:tcW w:w="2603"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温度、湿度、噪声、风速为现场检测；</w:t>
            </w:r>
            <w:r>
              <w:rPr>
                <w:rFonts w:ascii="仿宋" w:hAnsi="仿宋" w:eastAsia="仿宋" w:cs="仿宋"/>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vAlign w:val="center"/>
          </w:tcPr>
          <w:p>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791" w:type="dxa"/>
            <w:vAlign w:val="center"/>
          </w:tcPr>
          <w:p>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理发店</w:t>
            </w:r>
          </w:p>
        </w:tc>
        <w:tc>
          <w:tcPr>
            <w:tcW w:w="4977"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室内环境的温度、湿度、噪声、风速，室内空气中的氨、甲醛、苯、甲苯、二甲苯、PM10、PM2.5，毛巾、理发剪、理发梳等公共用品用具的菌落总数、大肠菌群、金黄色葡萄球菌，毛巾的pH值。</w:t>
            </w:r>
          </w:p>
        </w:tc>
        <w:tc>
          <w:tcPr>
            <w:tcW w:w="955" w:type="dxa"/>
            <w:vAlign w:val="center"/>
          </w:tcPr>
          <w:p>
            <w:pPr>
              <w:widowControl/>
              <w:spacing w:line="280" w:lineRule="exact"/>
              <w:jc w:val="center"/>
              <w:rPr>
                <w:rFonts w:ascii="仿宋" w:hAnsi="仿宋" w:eastAsia="仿宋" w:cs="仿宋"/>
                <w:sz w:val="22"/>
                <w:szCs w:val="22"/>
              </w:rPr>
            </w:pPr>
            <w:r>
              <w:rPr>
                <w:rFonts w:hint="eastAsia" w:ascii="仿宋" w:hAnsi="仿宋" w:eastAsia="仿宋" w:cs="仿宋"/>
                <w:sz w:val="22"/>
                <w:szCs w:val="22"/>
              </w:rPr>
              <w:t>8*2次</w:t>
            </w:r>
          </w:p>
        </w:tc>
        <w:tc>
          <w:tcPr>
            <w:tcW w:w="2603"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温度、湿度、噪声、风速、PM10、PM2.5为现场检测；</w:t>
            </w:r>
            <w:r>
              <w:rPr>
                <w:rFonts w:ascii="仿宋" w:hAnsi="仿宋" w:eastAsia="仿宋" w:cs="仿宋"/>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vAlign w:val="center"/>
          </w:tcPr>
          <w:p>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791" w:type="dxa"/>
            <w:vAlign w:val="center"/>
          </w:tcPr>
          <w:p>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游泳场所</w:t>
            </w:r>
          </w:p>
        </w:tc>
        <w:tc>
          <w:tcPr>
            <w:tcW w:w="4977"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室内环境的温度、湿度、噪声、风速，游泳池水中浑浊度、pH值、尿素、消毒剂余量、氧化还原电位、菌落总数、大肠菌群、耐热大肠菌群和浸脚池水游离性余氯。</w:t>
            </w:r>
          </w:p>
        </w:tc>
        <w:tc>
          <w:tcPr>
            <w:tcW w:w="955" w:type="dxa"/>
            <w:vAlign w:val="center"/>
          </w:tcPr>
          <w:p>
            <w:pPr>
              <w:widowControl/>
              <w:spacing w:line="280" w:lineRule="exact"/>
              <w:jc w:val="center"/>
              <w:rPr>
                <w:rFonts w:ascii="仿宋" w:hAnsi="仿宋" w:eastAsia="仿宋" w:cs="仿宋"/>
                <w:sz w:val="22"/>
                <w:szCs w:val="22"/>
              </w:rPr>
            </w:pPr>
            <w:r>
              <w:rPr>
                <w:rFonts w:hint="eastAsia" w:ascii="仿宋" w:hAnsi="仿宋" w:eastAsia="仿宋" w:cs="仿宋"/>
                <w:sz w:val="22"/>
                <w:szCs w:val="22"/>
              </w:rPr>
              <w:t>4*2次</w:t>
            </w:r>
          </w:p>
        </w:tc>
        <w:tc>
          <w:tcPr>
            <w:tcW w:w="2603"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温度、湿度、噪声、风速、消毒剂余量、氧化还原电位、浸脚池水游离性余氯为现场检测；</w:t>
            </w:r>
            <w:r>
              <w:rPr>
                <w:rFonts w:ascii="仿宋" w:hAnsi="仿宋" w:eastAsia="仿宋" w:cs="仿宋"/>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vAlign w:val="center"/>
          </w:tcPr>
          <w:p>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791" w:type="dxa"/>
            <w:vAlign w:val="center"/>
          </w:tcPr>
          <w:p>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美容店</w:t>
            </w:r>
          </w:p>
        </w:tc>
        <w:tc>
          <w:tcPr>
            <w:tcW w:w="4977"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室内环境的温度、湿度、噪声、风速，室内空气中的氨、甲醛、苯、甲苯、二甲苯、PM10、PM2.5，室外空气的PM10、PM2.5，床单、美容面盆及侵入性操作工具的菌落总数、大肠菌群、金黄色葡萄球菌，毛巾的pH值、菌落总数、大肠菌群、金黄色葡萄球菌，从业人员手部的真菌总数。</w:t>
            </w:r>
          </w:p>
        </w:tc>
        <w:tc>
          <w:tcPr>
            <w:tcW w:w="955" w:type="dxa"/>
            <w:vAlign w:val="center"/>
          </w:tcPr>
          <w:p>
            <w:pPr>
              <w:widowControl/>
              <w:spacing w:line="280" w:lineRule="exact"/>
              <w:jc w:val="center"/>
              <w:rPr>
                <w:rFonts w:ascii="仿宋" w:hAnsi="仿宋" w:eastAsia="仿宋" w:cs="仿宋"/>
                <w:sz w:val="22"/>
                <w:szCs w:val="22"/>
              </w:rPr>
            </w:pPr>
            <w:r>
              <w:rPr>
                <w:rFonts w:hint="eastAsia" w:ascii="仿宋" w:hAnsi="仿宋" w:eastAsia="仿宋" w:cs="仿宋"/>
                <w:sz w:val="22"/>
                <w:szCs w:val="22"/>
              </w:rPr>
              <w:t>4*2次</w:t>
            </w:r>
          </w:p>
        </w:tc>
        <w:tc>
          <w:tcPr>
            <w:tcW w:w="2603"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温度、湿度、噪声、风速、PM10、PM2.5，室外空气的PM10、PM2.5为现场检测；</w:t>
            </w:r>
            <w:r>
              <w:rPr>
                <w:rFonts w:ascii="仿宋" w:hAnsi="仿宋" w:eastAsia="仿宋" w:cs="仿宋"/>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vAlign w:val="center"/>
          </w:tcPr>
          <w:p>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791" w:type="dxa"/>
            <w:vAlign w:val="center"/>
          </w:tcPr>
          <w:p>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商超</w:t>
            </w:r>
          </w:p>
        </w:tc>
        <w:tc>
          <w:tcPr>
            <w:tcW w:w="4977"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室内环境的温度、湿度、噪声、风速，室内空气中的CO、CO2、菌落总数、真菌总数、PM10、PM2.5，购物车（篮）、收银台的菌落总数、大肠菌群、金黄色葡萄球菌。</w:t>
            </w:r>
          </w:p>
        </w:tc>
        <w:tc>
          <w:tcPr>
            <w:tcW w:w="955" w:type="dxa"/>
            <w:vAlign w:val="center"/>
          </w:tcPr>
          <w:p>
            <w:pPr>
              <w:widowControl/>
              <w:spacing w:line="280" w:lineRule="exact"/>
              <w:jc w:val="center"/>
              <w:rPr>
                <w:rFonts w:ascii="仿宋" w:hAnsi="仿宋" w:eastAsia="仿宋" w:cs="仿宋"/>
                <w:sz w:val="22"/>
                <w:szCs w:val="22"/>
              </w:rPr>
            </w:pPr>
            <w:r>
              <w:rPr>
                <w:rFonts w:hint="eastAsia" w:ascii="仿宋" w:hAnsi="仿宋" w:eastAsia="仿宋" w:cs="仿宋"/>
                <w:sz w:val="22"/>
                <w:szCs w:val="22"/>
              </w:rPr>
              <w:t>8*2次</w:t>
            </w:r>
          </w:p>
        </w:tc>
        <w:tc>
          <w:tcPr>
            <w:tcW w:w="2603"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温度、湿度、噪声、风速，室内空气中的CO、CO2、PM10、PM2.5为现场检测；</w:t>
            </w:r>
            <w:r>
              <w:rPr>
                <w:rFonts w:ascii="仿宋" w:hAnsi="仿宋" w:eastAsia="仿宋" w:cs="仿宋"/>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4" w:type="dxa"/>
            <w:vAlign w:val="center"/>
          </w:tcPr>
          <w:p>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7</w:t>
            </w:r>
          </w:p>
        </w:tc>
        <w:tc>
          <w:tcPr>
            <w:tcW w:w="791" w:type="dxa"/>
            <w:vAlign w:val="center"/>
          </w:tcPr>
          <w:p>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健身房</w:t>
            </w:r>
          </w:p>
        </w:tc>
        <w:tc>
          <w:tcPr>
            <w:tcW w:w="4977"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室内环境的温度、湿度、噪声、风速，室内空气中的CO、CO2、PM10、PM2.5、甲醛、苯、甲苯、二甲苯、菌落总数、真菌总数，健身器械的菌落总数、大肠菌群、金黄色葡萄球菌。</w:t>
            </w:r>
          </w:p>
        </w:tc>
        <w:tc>
          <w:tcPr>
            <w:tcW w:w="955" w:type="dxa"/>
            <w:vAlign w:val="center"/>
          </w:tcPr>
          <w:p>
            <w:pPr>
              <w:widowControl/>
              <w:spacing w:line="280" w:lineRule="exact"/>
              <w:jc w:val="center"/>
              <w:rPr>
                <w:rFonts w:ascii="仿宋" w:hAnsi="仿宋" w:eastAsia="仿宋" w:cs="仿宋"/>
                <w:sz w:val="22"/>
                <w:szCs w:val="22"/>
              </w:rPr>
            </w:pPr>
            <w:r>
              <w:rPr>
                <w:rFonts w:hint="eastAsia" w:ascii="仿宋" w:hAnsi="仿宋" w:eastAsia="仿宋" w:cs="仿宋"/>
                <w:sz w:val="22"/>
                <w:szCs w:val="22"/>
              </w:rPr>
              <w:t>2*2次</w:t>
            </w:r>
          </w:p>
        </w:tc>
        <w:tc>
          <w:tcPr>
            <w:tcW w:w="2603"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温度、湿度、噪声、风速，室内空气中的CO、CO2、PM10、PM2.5为现场检测；</w:t>
            </w:r>
            <w:r>
              <w:rPr>
                <w:rFonts w:ascii="仿宋" w:hAnsi="仿宋" w:eastAsia="仿宋" w:cs="仿宋"/>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84" w:type="dxa"/>
            <w:vAlign w:val="center"/>
          </w:tcPr>
          <w:p>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8</w:t>
            </w:r>
          </w:p>
        </w:tc>
        <w:tc>
          <w:tcPr>
            <w:tcW w:w="791" w:type="dxa"/>
            <w:vAlign w:val="center"/>
          </w:tcPr>
          <w:p>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候车室</w:t>
            </w:r>
          </w:p>
        </w:tc>
        <w:tc>
          <w:tcPr>
            <w:tcW w:w="4977"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室内环境的温度、湿度、噪声、风速，室内空气中的CO、CO2、菌落总数、真菌总数、PM10、PM2.5，自动扶梯、候车座椅的菌落总数、大肠菌群。</w:t>
            </w:r>
          </w:p>
        </w:tc>
        <w:tc>
          <w:tcPr>
            <w:tcW w:w="955" w:type="dxa"/>
            <w:vAlign w:val="center"/>
          </w:tcPr>
          <w:p>
            <w:pPr>
              <w:widowControl/>
              <w:spacing w:line="280" w:lineRule="exact"/>
              <w:jc w:val="center"/>
              <w:rPr>
                <w:rFonts w:ascii="仿宋" w:hAnsi="仿宋" w:eastAsia="仿宋" w:cs="仿宋"/>
                <w:sz w:val="22"/>
                <w:szCs w:val="22"/>
              </w:rPr>
            </w:pPr>
            <w:r>
              <w:rPr>
                <w:rFonts w:hint="eastAsia" w:ascii="仿宋" w:hAnsi="仿宋" w:eastAsia="仿宋" w:cs="仿宋"/>
                <w:sz w:val="22"/>
                <w:szCs w:val="22"/>
              </w:rPr>
              <w:t>2*2次</w:t>
            </w:r>
          </w:p>
        </w:tc>
        <w:tc>
          <w:tcPr>
            <w:tcW w:w="2603" w:type="dxa"/>
            <w:vAlign w:val="center"/>
          </w:tcPr>
          <w:p>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温度、湿度、噪声、风速，室内空气中的CO、CO2、PM10、PM2.5为现场检测；</w:t>
            </w:r>
            <w:r>
              <w:rPr>
                <w:rFonts w:ascii="仿宋" w:hAnsi="仿宋" w:eastAsia="仿宋" w:cs="仿宋"/>
                <w:sz w:val="22"/>
                <w:szCs w:val="22"/>
              </w:rPr>
              <w:t>其余项目现场采样。</w:t>
            </w:r>
          </w:p>
        </w:tc>
      </w:tr>
    </w:tbl>
    <w:p>
      <w:pPr>
        <w:pStyle w:val="8"/>
        <w:rPr>
          <w:rFonts w:ascii="黑体" w:hAnsi="黑体" w:eastAsia="黑体" w:cs="黑体"/>
          <w:sz w:val="28"/>
          <w:szCs w:val="28"/>
        </w:rPr>
      </w:pPr>
    </w:p>
    <w:p>
      <w:pPr>
        <w:pStyle w:val="8"/>
        <w:rPr>
          <w:rFonts w:ascii="黑体" w:hAnsi="黑体" w:eastAsia="黑体" w:cs="黑体"/>
          <w:sz w:val="28"/>
          <w:szCs w:val="28"/>
        </w:rPr>
      </w:pPr>
    </w:p>
    <w:p>
      <w:pPr>
        <w:pStyle w:val="8"/>
        <w:rPr>
          <w:rFonts w:ascii="黑体" w:hAnsi="黑体" w:eastAsia="黑体" w:cs="黑体"/>
          <w:sz w:val="28"/>
          <w:szCs w:val="28"/>
        </w:rPr>
      </w:pPr>
    </w:p>
    <w:p>
      <w:pPr>
        <w:pStyle w:val="8"/>
        <w:rPr>
          <w:rFonts w:ascii="黑体" w:hAnsi="黑体" w:eastAsia="黑体" w:cs="黑体"/>
          <w:sz w:val="28"/>
          <w:szCs w:val="28"/>
        </w:rPr>
      </w:pPr>
    </w:p>
    <w:p>
      <w:pPr>
        <w:pStyle w:val="8"/>
        <w:rPr>
          <w:rFonts w:ascii="黑体" w:hAnsi="黑体" w:eastAsia="黑体" w:cs="黑体"/>
          <w:sz w:val="28"/>
          <w:szCs w:val="28"/>
        </w:rPr>
      </w:pPr>
      <w:r>
        <w:rPr>
          <w:rFonts w:hint="eastAsia" w:ascii="黑体" w:hAnsi="黑体" w:eastAsia="黑体" w:cs="黑体"/>
          <w:sz w:val="28"/>
          <w:szCs w:val="28"/>
        </w:rPr>
        <w:t>二、现场采样仪器耗材一览表</w:t>
      </w:r>
    </w:p>
    <w:p>
      <w:pPr>
        <w:pStyle w:val="8"/>
        <w:rPr>
          <w:rFonts w:ascii="黑体" w:hAnsi="黑体" w:eastAsia="黑体" w:cs="黑体"/>
          <w:sz w:val="28"/>
          <w:szCs w:val="28"/>
        </w:rPr>
      </w:pPr>
      <w:r>
        <w:drawing>
          <wp:inline distT="0" distB="0" distL="0" distR="0">
            <wp:extent cx="6029325" cy="6734175"/>
            <wp:effectExtent l="0" t="0" r="9525"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4">
                      <a:extLst>
                        <a:ext uri="{28A0092B-C50C-407E-A947-70E740481C1C}">
                          <a14:useLocalDpi xmlns:a14="http://schemas.microsoft.com/office/drawing/2010/main" val="0"/>
                        </a:ext>
                      </a:extLst>
                    </a:blip>
                    <a:srcRect t="4077"/>
                    <a:stretch>
                      <a:fillRect/>
                    </a:stretch>
                  </pic:blipFill>
                  <pic:spPr>
                    <a:xfrm>
                      <a:off x="0" y="0"/>
                      <a:ext cx="6029325" cy="6734175"/>
                    </a:xfrm>
                    <a:prstGeom prst="rect">
                      <a:avLst/>
                    </a:prstGeom>
                    <a:noFill/>
                    <a:ln>
                      <a:noFill/>
                    </a:ln>
                    <a:effectLst/>
                  </pic:spPr>
                </pic:pic>
              </a:graphicData>
            </a:graphic>
          </wp:inline>
        </w:drawing>
      </w:r>
    </w:p>
    <w:p>
      <w:pPr>
        <w:spacing w:line="400" w:lineRule="exact"/>
        <w:ind w:firstLine="560" w:firstLineChars="200"/>
        <w:rPr>
          <w:rFonts w:ascii="黑体" w:hAnsi="黑体" w:eastAsia="黑体" w:cs="黑体"/>
          <w:sz w:val="28"/>
          <w:szCs w:val="28"/>
        </w:rPr>
      </w:pPr>
      <w:r>
        <w:rPr>
          <w:rFonts w:hint="eastAsia" w:ascii="黑体" w:hAnsi="黑体" w:eastAsia="黑体" w:cs="黑体"/>
          <w:sz w:val="28"/>
          <w:szCs w:val="28"/>
        </w:rPr>
        <w:t>四、商务要求</w:t>
      </w:r>
    </w:p>
    <w:p>
      <w:pPr>
        <w:spacing w:line="400" w:lineRule="exact"/>
        <w:ind w:firstLine="482" w:firstLineChars="200"/>
        <w:rPr>
          <w:rFonts w:ascii="仿宋" w:hAnsi="仿宋" w:eastAsia="仿宋" w:cs="仿宋"/>
          <w:b/>
          <w:bCs/>
        </w:rPr>
      </w:pPr>
      <w:r>
        <w:rPr>
          <w:rFonts w:hint="eastAsia" w:ascii="仿宋" w:hAnsi="仿宋" w:eastAsia="仿宋" w:cs="仿宋"/>
          <w:b/>
          <w:bCs/>
        </w:rPr>
        <w:t>（一）报价要求：</w:t>
      </w:r>
      <w:r>
        <w:rPr>
          <w:rFonts w:hint="eastAsia" w:ascii="仿宋" w:hAnsi="仿宋" w:eastAsia="仿宋" w:cs="仿宋"/>
        </w:rPr>
        <w:t>供应商的报价应包括：人员费用、材料费用、车辆费用、管理费及税金等为完成谈判文件规定的全部内容所需的一切应有费用。</w:t>
      </w:r>
    </w:p>
    <w:p>
      <w:pPr>
        <w:spacing w:line="400" w:lineRule="exact"/>
        <w:ind w:firstLine="482" w:firstLineChars="200"/>
        <w:rPr>
          <w:rFonts w:ascii="仿宋" w:hAnsi="仿宋" w:eastAsia="仿宋" w:cs="仿宋"/>
          <w:b/>
          <w:bCs/>
        </w:rPr>
      </w:pPr>
      <w:r>
        <w:rPr>
          <w:rFonts w:hint="eastAsia" w:ascii="仿宋" w:hAnsi="仿宋" w:eastAsia="仿宋" w:cs="仿宋"/>
          <w:b/>
          <w:bCs/>
        </w:rPr>
        <w:t>（二）质量要求：</w:t>
      </w:r>
    </w:p>
    <w:p>
      <w:pPr>
        <w:spacing w:line="400" w:lineRule="exact"/>
        <w:ind w:firstLine="480" w:firstLineChars="200"/>
        <w:rPr>
          <w:rFonts w:ascii="仿宋" w:hAnsi="仿宋" w:eastAsia="仿宋" w:cs="仿宋"/>
        </w:rPr>
      </w:pPr>
      <w:r>
        <w:rPr>
          <w:rFonts w:hint="eastAsia" w:ascii="仿宋" w:hAnsi="仿宋" w:eastAsia="仿宋" w:cs="仿宋"/>
        </w:rPr>
        <w:t>做好现场调查、采样检测、数据报送等工作，保证监测结果的真实性和可靠性。各类场所监测指标的检验抽样参照《公共场所卫生检验方法》第6部分卫生监测技术规范（GB/T 18204.6）执行；检验方法参照《公共场所卫生检验方法》第1部分～第5部分（GB/T 18204.1-GB/T 18204.5）执行。</w:t>
      </w:r>
    </w:p>
    <w:p>
      <w:pPr>
        <w:spacing w:line="400" w:lineRule="exact"/>
        <w:ind w:firstLine="482" w:firstLineChars="200"/>
        <w:rPr>
          <w:rFonts w:ascii="仿宋" w:hAnsi="仿宋" w:eastAsia="仿宋" w:cs="仿宋"/>
          <w:b/>
          <w:bCs/>
        </w:rPr>
      </w:pPr>
      <w:r>
        <w:rPr>
          <w:rFonts w:hint="eastAsia" w:ascii="仿宋" w:hAnsi="仿宋" w:eastAsia="仿宋" w:cs="仿宋"/>
          <w:b/>
          <w:bCs/>
        </w:rPr>
        <w:t>（三）检测内容及资料录入</w:t>
      </w:r>
    </w:p>
    <w:p>
      <w:pPr>
        <w:spacing w:line="400" w:lineRule="exact"/>
        <w:ind w:firstLine="480" w:firstLineChars="200"/>
        <w:rPr>
          <w:rFonts w:ascii="仿宋" w:hAnsi="仿宋" w:eastAsia="仿宋" w:cs="仿宋"/>
        </w:rPr>
      </w:pPr>
      <w:r>
        <w:rPr>
          <w:rFonts w:hint="eastAsia" w:ascii="仿宋" w:hAnsi="仿宋" w:eastAsia="仿宋" w:cs="仿宋"/>
        </w:rPr>
        <w:t>1.潜在供应商需要独立开展一览表中被检测单位的从业人员健康状况调查以及各类样品的现场采样、直读仪器的现场检测。</w:t>
      </w:r>
    </w:p>
    <w:p>
      <w:pPr>
        <w:spacing w:line="400" w:lineRule="exact"/>
        <w:ind w:firstLine="480" w:firstLineChars="200"/>
        <w:rPr>
          <w:rFonts w:ascii="仿宋" w:hAnsi="仿宋" w:eastAsia="仿宋" w:cs="仿宋"/>
        </w:rPr>
      </w:pPr>
      <w:r>
        <w:rPr>
          <w:rFonts w:hint="eastAsia" w:ascii="仿宋" w:hAnsi="仿宋" w:eastAsia="仿宋" w:cs="仿宋"/>
        </w:rPr>
        <w:t>2.市区共监测两轮，第一轮二季度完成，第二轮四季度完成。每轮50家公共场所单位，对</w:t>
      </w:r>
      <w:bookmarkStart w:id="1" w:name="_Hlk60921633"/>
      <w:r>
        <w:rPr>
          <w:rFonts w:hint="eastAsia" w:ascii="仿宋" w:hAnsi="仿宋" w:eastAsia="仿宋" w:cs="仿宋"/>
        </w:rPr>
        <w:t>宾馆（酒店）、</w:t>
      </w:r>
      <w:bookmarkStart w:id="2" w:name="_Hlk60837147"/>
      <w:r>
        <w:rPr>
          <w:rFonts w:hint="eastAsia" w:ascii="仿宋" w:hAnsi="仿宋" w:eastAsia="仿宋" w:cs="仿宋"/>
        </w:rPr>
        <w:t>游泳场（馆）、沐浴场所</w:t>
      </w:r>
      <w:bookmarkEnd w:id="2"/>
      <w:r>
        <w:rPr>
          <w:rFonts w:hint="eastAsia" w:ascii="仿宋" w:hAnsi="仿宋" w:eastAsia="仿宋" w:cs="仿宋"/>
        </w:rPr>
        <w:t>、商场（超市）、理发店、美容店、候车室</w:t>
      </w:r>
      <w:bookmarkEnd w:id="1"/>
      <w:r>
        <w:rPr>
          <w:rFonts w:hint="eastAsia" w:ascii="仿宋" w:hAnsi="仿宋" w:eastAsia="仿宋" w:cs="仿宋"/>
        </w:rPr>
        <w:t>、健身房等8类公共场所开展健康危害因素监测。包括三星级以上宾馆（含三星级）、三星级以下宾馆、快捷酒店各6家，游泳场（馆）4家，沐浴场所4家，商场（超市）8家，理发店8家，美容店4家，候车室2家，健身房2家。</w:t>
      </w:r>
    </w:p>
    <w:p>
      <w:pPr>
        <w:spacing w:line="400" w:lineRule="exact"/>
        <w:ind w:firstLine="480" w:firstLineChars="200"/>
        <w:rPr>
          <w:rFonts w:ascii="仿宋" w:hAnsi="仿宋" w:eastAsia="仿宋" w:cs="仿宋"/>
        </w:rPr>
      </w:pPr>
      <w:r>
        <w:rPr>
          <w:rFonts w:hint="eastAsia" w:ascii="仿宋" w:hAnsi="仿宋" w:eastAsia="仿宋" w:cs="仿宋"/>
        </w:rPr>
        <w:t>3.完成两轮监测的个人调查表录入工作。</w:t>
      </w:r>
    </w:p>
    <w:p>
      <w:pPr>
        <w:spacing w:line="400" w:lineRule="exact"/>
        <w:ind w:firstLine="482" w:firstLineChars="200"/>
        <w:rPr>
          <w:rFonts w:ascii="仿宋" w:hAnsi="仿宋" w:eastAsia="仿宋" w:cs="仿宋"/>
          <w:b/>
          <w:bCs/>
        </w:rPr>
      </w:pPr>
      <w:r>
        <w:rPr>
          <w:rFonts w:hint="eastAsia" w:ascii="仿宋" w:hAnsi="仿宋" w:eastAsia="仿宋" w:cs="仿宋"/>
          <w:b/>
          <w:bCs/>
        </w:rPr>
        <w:t>（四）供应商需要承担的其他事项：</w:t>
      </w:r>
    </w:p>
    <w:p>
      <w:pPr>
        <w:spacing w:line="400" w:lineRule="exact"/>
        <w:ind w:firstLine="480" w:firstLineChars="200"/>
        <w:rPr>
          <w:rFonts w:ascii="仿宋" w:hAnsi="仿宋" w:eastAsia="仿宋" w:cs="仿宋"/>
        </w:rPr>
      </w:pPr>
      <w:r>
        <w:rPr>
          <w:rFonts w:hint="eastAsia" w:ascii="仿宋" w:hAnsi="仿宋" w:eastAsia="仿宋" w:cs="仿宋"/>
        </w:rPr>
        <w:t>1.承担车辆的安排及费用（车辆要求一辆商务车，一辆轿车）。</w:t>
      </w:r>
    </w:p>
    <w:p>
      <w:pPr>
        <w:spacing w:line="400" w:lineRule="exact"/>
        <w:ind w:firstLine="482" w:firstLineChars="200"/>
        <w:rPr>
          <w:rFonts w:ascii="仿宋" w:hAnsi="仿宋" w:eastAsia="仿宋" w:cs="仿宋"/>
          <w:b/>
          <w:bCs/>
        </w:rPr>
      </w:pPr>
      <w:r>
        <w:rPr>
          <w:rFonts w:hint="eastAsia" w:ascii="仿宋" w:hAnsi="仿宋" w:eastAsia="仿宋" w:cs="仿宋"/>
          <w:b/>
          <w:bCs/>
        </w:rPr>
        <w:t>2.现场工作人员不得少于五人，其中2人需具有相关专业的资质证书。</w:t>
      </w:r>
    </w:p>
    <w:p>
      <w:pPr>
        <w:spacing w:line="400" w:lineRule="exact"/>
        <w:ind w:firstLine="480" w:firstLineChars="200"/>
        <w:rPr>
          <w:rFonts w:ascii="仿宋" w:hAnsi="仿宋" w:eastAsia="仿宋" w:cs="仿宋"/>
        </w:rPr>
      </w:pPr>
      <w:r>
        <w:rPr>
          <w:rFonts w:hint="eastAsia" w:ascii="仿宋" w:hAnsi="仿宋" w:eastAsia="仿宋" w:cs="仿宋"/>
        </w:rPr>
        <w:t>3.能够与卫生监督管理部门进行沟通。</w:t>
      </w:r>
    </w:p>
    <w:p>
      <w:pPr>
        <w:spacing w:line="400" w:lineRule="exact"/>
        <w:ind w:firstLine="480" w:firstLineChars="200"/>
        <w:rPr>
          <w:rFonts w:hint="eastAsia" w:ascii="仿宋" w:hAnsi="仿宋" w:eastAsia="仿宋" w:cs="仿宋"/>
        </w:rPr>
      </w:pPr>
      <w:r>
        <w:rPr>
          <w:rFonts w:hint="eastAsia" w:ascii="仿宋" w:hAnsi="仿宋" w:eastAsia="仿宋" w:cs="仿宋"/>
        </w:rPr>
        <w:t>4.每轮次检测完毕后，供应商需将检测过程材料，形成书面报告，上报采购人。</w:t>
      </w:r>
    </w:p>
    <w:p>
      <w:pPr>
        <w:spacing w:line="400" w:lineRule="exact"/>
        <w:ind w:firstLine="480" w:firstLineChars="200"/>
        <w:rPr>
          <w:color w:val="FF0000"/>
        </w:rPr>
      </w:pPr>
      <w:r>
        <w:rPr>
          <w:rFonts w:hint="eastAsia" w:ascii="仿宋" w:hAnsi="仿宋" w:eastAsia="仿宋" w:cs="仿宋"/>
          <w:color w:val="FF0000"/>
        </w:rPr>
        <w:t xml:space="preserve"> 5.对于监测过程中造成的被检出单位财产损失，由中标公司承担。</w:t>
      </w:r>
    </w:p>
    <w:p>
      <w:pPr>
        <w:spacing w:line="400" w:lineRule="exact"/>
        <w:ind w:firstLine="482" w:firstLineChars="200"/>
        <w:rPr>
          <w:rFonts w:ascii="仿宋" w:hAnsi="仿宋" w:eastAsia="仿宋" w:cs="仿宋"/>
          <w:b/>
          <w:bCs/>
        </w:rPr>
      </w:pPr>
      <w:r>
        <w:rPr>
          <w:rFonts w:hint="eastAsia" w:ascii="仿宋" w:hAnsi="仿宋" w:eastAsia="仿宋" w:cs="仿宋"/>
          <w:b/>
          <w:bCs/>
        </w:rPr>
        <w:t>（五）检测时间及地点要求</w:t>
      </w:r>
    </w:p>
    <w:p>
      <w:pPr>
        <w:spacing w:line="400" w:lineRule="exact"/>
        <w:ind w:firstLine="480" w:firstLineChars="200"/>
        <w:rPr>
          <w:rFonts w:ascii="仿宋" w:hAnsi="仿宋" w:eastAsia="仿宋" w:cs="仿宋"/>
        </w:rPr>
      </w:pPr>
      <w:r>
        <w:rPr>
          <w:rFonts w:hint="eastAsia" w:ascii="仿宋" w:hAnsi="仿宋" w:eastAsia="仿宋" w:cs="仿宋"/>
        </w:rPr>
        <w:t>（1）检测完成时间及频次要求：全年共监测两轮，两轮完成时间为</w:t>
      </w:r>
      <w:r>
        <w:rPr>
          <w:rFonts w:ascii="仿宋" w:hAnsi="仿宋" w:eastAsia="仿宋" w:cs="仿宋"/>
        </w:rPr>
        <w:t>2023</w:t>
      </w:r>
      <w:r>
        <w:rPr>
          <w:rFonts w:hint="eastAsia" w:ascii="仿宋" w:hAnsi="仿宋" w:eastAsia="仿宋" w:cs="仿宋"/>
        </w:rPr>
        <w:t>年第二季度和第四季度。</w:t>
      </w:r>
    </w:p>
    <w:p>
      <w:pPr>
        <w:spacing w:line="400" w:lineRule="exact"/>
        <w:ind w:firstLine="480" w:firstLineChars="200"/>
        <w:rPr>
          <w:rFonts w:ascii="仿宋" w:hAnsi="仿宋" w:eastAsia="仿宋" w:cs="仿宋"/>
        </w:rPr>
      </w:pPr>
      <w:r>
        <w:rPr>
          <w:rFonts w:hint="eastAsia" w:ascii="仿宋" w:hAnsi="仿宋" w:eastAsia="仿宋" w:cs="仿宋"/>
        </w:rPr>
        <w:t>（2）交货地点：采购人指定的地点</w:t>
      </w:r>
    </w:p>
    <w:p>
      <w:pPr>
        <w:spacing w:line="400" w:lineRule="exact"/>
        <w:ind w:firstLine="482" w:firstLineChars="200"/>
        <w:rPr>
          <w:rFonts w:ascii="仿宋" w:hAnsi="仿宋" w:eastAsia="仿宋" w:cs="仿宋"/>
          <w:b/>
          <w:bCs/>
        </w:rPr>
      </w:pPr>
      <w:r>
        <w:rPr>
          <w:rFonts w:hint="eastAsia" w:ascii="仿宋" w:hAnsi="仿宋" w:eastAsia="仿宋" w:cs="仿宋"/>
          <w:b/>
          <w:bCs/>
        </w:rPr>
        <w:t>（六）付款方式</w:t>
      </w:r>
    </w:p>
    <w:p>
      <w:pPr>
        <w:spacing w:line="400" w:lineRule="exact"/>
        <w:ind w:firstLine="480" w:firstLineChars="200"/>
        <w:rPr>
          <w:rFonts w:ascii="仿宋" w:hAnsi="仿宋" w:eastAsia="仿宋" w:cs="仿宋"/>
          <w:color w:val="FF0000"/>
        </w:rPr>
      </w:pPr>
      <w:r>
        <w:rPr>
          <w:rFonts w:hint="eastAsia" w:ascii="仿宋" w:hAnsi="仿宋" w:eastAsia="仿宋" w:cs="仿宋"/>
          <w:color w:val="FF0000"/>
        </w:rPr>
        <w:t>监测完成上报工作，并通过验收合格后15个工作日内完成支付。由于不可抗拒因素造成项目不能完成的，按实际工作量进行支付。</w:t>
      </w:r>
    </w:p>
    <w:p>
      <w:pPr>
        <w:spacing w:line="400" w:lineRule="exact"/>
        <w:ind w:firstLine="482" w:firstLineChars="200"/>
        <w:rPr>
          <w:rFonts w:ascii="仿宋" w:hAnsi="仿宋" w:eastAsia="仿宋" w:cs="仿宋"/>
        </w:rPr>
      </w:pPr>
      <w:r>
        <w:rPr>
          <w:rFonts w:hint="eastAsia" w:ascii="仿宋" w:hAnsi="仿宋" w:eastAsia="仿宋" w:cs="仿宋"/>
          <w:b/>
          <w:bCs/>
        </w:rPr>
        <w:t>（七）投标保证金和履约保证金：</w:t>
      </w:r>
      <w:r>
        <w:rPr>
          <w:rFonts w:hint="eastAsia" w:ascii="仿宋" w:hAnsi="仿宋" w:eastAsia="仿宋" w:cs="仿宋"/>
        </w:rPr>
        <w:t>无。</w:t>
      </w:r>
    </w:p>
    <w:p>
      <w:pPr>
        <w:spacing w:line="400" w:lineRule="exact"/>
        <w:ind w:firstLine="482" w:firstLineChars="200"/>
        <w:rPr>
          <w:rFonts w:ascii="仿宋" w:hAnsi="仿宋" w:eastAsia="仿宋" w:cs="仿宋"/>
          <w:b/>
          <w:bCs/>
        </w:rPr>
      </w:pPr>
      <w:r>
        <w:rPr>
          <w:rFonts w:hint="eastAsia" w:ascii="仿宋" w:hAnsi="仿宋" w:eastAsia="仿宋" w:cs="仿宋"/>
          <w:b/>
          <w:bCs/>
        </w:rPr>
        <w:t>（八）验收方法及标准</w:t>
      </w:r>
    </w:p>
    <w:p>
      <w:pPr>
        <w:spacing w:line="400" w:lineRule="exact"/>
        <w:ind w:firstLine="480" w:firstLineChars="200"/>
        <w:rPr>
          <w:rFonts w:ascii="仿宋" w:hAnsi="仿宋" w:eastAsia="仿宋" w:cs="仿宋"/>
          <w:color w:val="FF0000"/>
        </w:rPr>
      </w:pPr>
      <w:r>
        <w:rPr>
          <w:rFonts w:hint="eastAsia" w:ascii="仿宋" w:hAnsi="仿宋" w:eastAsia="仿宋" w:cs="仿宋"/>
          <w:color w:val="FF0000"/>
        </w:rPr>
        <w:t>按照双方签订的采购合同和技术要求及标准对每一环节、标准的履约情况进行验收。验收结束后，应当出具验收书，由双方共同签署。</w:t>
      </w:r>
    </w:p>
    <w:p>
      <w:pPr>
        <w:jc w:val="center"/>
        <w:rPr>
          <w:rFonts w:ascii="宋体" w:hAnsi="宋体"/>
          <w:color w:val="FF0000"/>
          <w:sz w:val="28"/>
          <w:szCs w:val="28"/>
        </w:rPr>
      </w:pPr>
      <w:r>
        <w:rPr>
          <w:rFonts w:hint="eastAsia" w:ascii="宋体" w:hAnsi="宋体"/>
          <w:color w:val="FF0000"/>
          <w:sz w:val="28"/>
          <w:szCs w:val="28"/>
        </w:rPr>
        <w:t>公共场所项目验收单</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42"/>
        <w:gridCol w:w="2177"/>
        <w:gridCol w:w="2209"/>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5000" w:type="pct"/>
            <w:gridSpan w:val="4"/>
            <w:shd w:val="clear" w:color="auto" w:fill="auto"/>
          </w:tcPr>
          <w:p>
            <w:pPr>
              <w:rPr>
                <w:rFonts w:ascii="仿宋" w:hAnsi="仿宋" w:eastAsia="仿宋"/>
                <w:sz w:val="22"/>
                <w:szCs w:val="22"/>
              </w:rPr>
            </w:pPr>
            <w:r>
              <w:rPr>
                <w:rFonts w:hint="eastAsia" w:ascii="仿宋" w:hAnsi="仿宋" w:eastAsia="仿宋"/>
                <w:sz w:val="22"/>
                <w:szCs w:val="22"/>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593" w:type="pct"/>
            <w:gridSpan w:val="2"/>
            <w:shd w:val="clear" w:color="auto" w:fill="auto"/>
          </w:tcPr>
          <w:p>
            <w:pPr>
              <w:rPr>
                <w:rFonts w:ascii="仿宋" w:hAnsi="仿宋" w:eastAsia="仿宋"/>
                <w:sz w:val="22"/>
                <w:szCs w:val="22"/>
              </w:rPr>
            </w:pPr>
            <w:r>
              <w:rPr>
                <w:rFonts w:hint="eastAsia" w:ascii="仿宋" w:hAnsi="仿宋" w:eastAsia="仿宋"/>
                <w:sz w:val="22"/>
                <w:szCs w:val="22"/>
              </w:rPr>
              <w:t>用户单位名称</w:t>
            </w:r>
            <w:r>
              <w:rPr>
                <w:rFonts w:ascii="仿宋" w:hAnsi="仿宋" w:eastAsia="仿宋"/>
                <w:sz w:val="22"/>
                <w:szCs w:val="22"/>
              </w:rPr>
              <w:t>:</w:t>
            </w:r>
          </w:p>
        </w:tc>
        <w:tc>
          <w:tcPr>
            <w:tcW w:w="2407" w:type="pct"/>
            <w:gridSpan w:val="2"/>
            <w:shd w:val="clear" w:color="auto" w:fill="auto"/>
          </w:tcPr>
          <w:p>
            <w:pPr>
              <w:rPr>
                <w:rFonts w:ascii="仿宋" w:hAnsi="仿宋" w:eastAsia="仿宋"/>
                <w:sz w:val="22"/>
                <w:szCs w:val="22"/>
              </w:rPr>
            </w:pPr>
            <w:r>
              <w:rPr>
                <w:rFonts w:hint="eastAsia" w:ascii="仿宋" w:hAnsi="仿宋" w:eastAsia="仿宋"/>
                <w:sz w:val="22"/>
                <w:szCs w:val="22"/>
              </w:rPr>
              <w:t>用户单位地址: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593" w:type="pct"/>
            <w:gridSpan w:val="2"/>
            <w:shd w:val="clear" w:color="auto" w:fill="auto"/>
          </w:tcPr>
          <w:p>
            <w:pPr>
              <w:rPr>
                <w:rFonts w:ascii="仿宋" w:hAnsi="仿宋" w:eastAsia="仿宋"/>
                <w:sz w:val="22"/>
                <w:szCs w:val="22"/>
              </w:rPr>
            </w:pPr>
            <w:r>
              <w:rPr>
                <w:rFonts w:hint="eastAsia" w:ascii="仿宋" w:hAnsi="仿宋" w:eastAsia="仿宋"/>
                <w:sz w:val="22"/>
                <w:szCs w:val="22"/>
              </w:rPr>
              <w:t>实施单位名称</w:t>
            </w:r>
            <w:r>
              <w:rPr>
                <w:rFonts w:ascii="仿宋" w:hAnsi="仿宋" w:eastAsia="仿宋"/>
                <w:sz w:val="22"/>
                <w:szCs w:val="22"/>
              </w:rPr>
              <w:t>:</w:t>
            </w:r>
          </w:p>
        </w:tc>
        <w:tc>
          <w:tcPr>
            <w:tcW w:w="2407" w:type="pct"/>
            <w:gridSpan w:val="2"/>
            <w:shd w:val="clear" w:color="auto" w:fill="auto"/>
          </w:tcPr>
          <w:p>
            <w:pPr>
              <w:rPr>
                <w:rFonts w:ascii="仿宋" w:hAnsi="仿宋" w:eastAsia="仿宋"/>
                <w:sz w:val="22"/>
                <w:szCs w:val="22"/>
              </w:rPr>
            </w:pPr>
            <w:r>
              <w:rPr>
                <w:rFonts w:hint="eastAsia" w:ascii="仿宋" w:hAnsi="仿宋" w:eastAsia="仿宋"/>
                <w:sz w:val="22"/>
                <w:szCs w:val="22"/>
              </w:rPr>
              <w:t>实施单位地址</w:t>
            </w:r>
            <w:r>
              <w:rPr>
                <w:rFonts w:ascii="仿宋" w:hAnsi="仿宋" w:eastAsia="仿宋"/>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316" w:type="pct"/>
            <w:shd w:val="clear" w:color="auto" w:fill="auto"/>
            <w:vAlign w:val="center"/>
          </w:tcPr>
          <w:p>
            <w:pPr>
              <w:rPr>
                <w:rFonts w:ascii="仿宋" w:hAnsi="仿宋" w:eastAsia="仿宋"/>
                <w:sz w:val="22"/>
                <w:szCs w:val="22"/>
              </w:rPr>
            </w:pPr>
            <w:r>
              <w:rPr>
                <w:rFonts w:hint="eastAsia" w:ascii="仿宋" w:hAnsi="仿宋" w:eastAsia="仿宋"/>
                <w:sz w:val="22"/>
                <w:szCs w:val="22"/>
              </w:rPr>
              <w:t>验收内容</w:t>
            </w:r>
          </w:p>
        </w:tc>
        <w:tc>
          <w:tcPr>
            <w:tcW w:w="1277" w:type="pct"/>
            <w:shd w:val="clear" w:color="auto" w:fill="auto"/>
            <w:vAlign w:val="center"/>
          </w:tcPr>
          <w:p>
            <w:pPr>
              <w:rPr>
                <w:rFonts w:ascii="仿宋" w:hAnsi="仿宋" w:eastAsia="仿宋"/>
                <w:sz w:val="22"/>
                <w:szCs w:val="22"/>
              </w:rPr>
            </w:pPr>
            <w:r>
              <w:rPr>
                <w:rFonts w:hint="eastAsia" w:ascii="仿宋" w:hAnsi="仿宋" w:eastAsia="仿宋"/>
                <w:sz w:val="22"/>
                <w:szCs w:val="22"/>
              </w:rPr>
              <w:t>足否符合验收标准</w:t>
            </w:r>
          </w:p>
        </w:tc>
        <w:tc>
          <w:tcPr>
            <w:tcW w:w="1296" w:type="pct"/>
            <w:shd w:val="clear" w:color="auto" w:fill="auto"/>
            <w:vAlign w:val="center"/>
          </w:tcPr>
          <w:p>
            <w:pPr>
              <w:rPr>
                <w:rFonts w:ascii="仿宋" w:hAnsi="仿宋" w:eastAsia="仿宋"/>
                <w:sz w:val="22"/>
                <w:szCs w:val="22"/>
              </w:rPr>
            </w:pPr>
            <w:r>
              <w:rPr>
                <w:rFonts w:hint="eastAsia" w:ascii="仿宋" w:hAnsi="仿宋" w:eastAsia="仿宋"/>
                <w:sz w:val="22"/>
                <w:szCs w:val="22"/>
              </w:rPr>
              <w:t>用户单位确认</w:t>
            </w:r>
          </w:p>
        </w:tc>
        <w:tc>
          <w:tcPr>
            <w:tcW w:w="1111" w:type="pct"/>
            <w:shd w:val="clear" w:color="auto" w:fill="auto"/>
            <w:vAlign w:val="center"/>
          </w:tcPr>
          <w:p>
            <w:pPr>
              <w:rPr>
                <w:rFonts w:ascii="仿宋" w:hAnsi="仿宋" w:eastAsia="仿宋"/>
                <w:sz w:val="22"/>
                <w:szCs w:val="22"/>
              </w:rPr>
            </w:pPr>
            <w:r>
              <w:rPr>
                <w:rFonts w:hint="eastAsia" w:ascii="仿宋" w:hAnsi="仿宋" w:eastAsia="仿宋"/>
                <w:sz w:val="22"/>
                <w:szCs w:val="22"/>
              </w:rPr>
              <w:t>实施方确认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316" w:type="pct"/>
            <w:shd w:val="clear" w:color="auto" w:fill="auto"/>
          </w:tcPr>
          <w:p>
            <w:pPr>
              <w:rPr>
                <w:rFonts w:ascii="仿宋" w:hAnsi="仿宋" w:eastAsia="仿宋"/>
                <w:sz w:val="22"/>
                <w:szCs w:val="22"/>
              </w:rPr>
            </w:pPr>
          </w:p>
        </w:tc>
        <w:tc>
          <w:tcPr>
            <w:tcW w:w="1277" w:type="pct"/>
            <w:shd w:val="clear" w:color="auto" w:fill="auto"/>
          </w:tcPr>
          <w:p>
            <w:pPr>
              <w:rPr>
                <w:rFonts w:ascii="仿宋" w:hAnsi="仿宋" w:eastAsia="仿宋"/>
                <w:sz w:val="22"/>
                <w:szCs w:val="22"/>
              </w:rPr>
            </w:pPr>
          </w:p>
        </w:tc>
        <w:tc>
          <w:tcPr>
            <w:tcW w:w="1296" w:type="pct"/>
            <w:shd w:val="clear" w:color="auto" w:fill="auto"/>
          </w:tcPr>
          <w:p>
            <w:pPr>
              <w:rPr>
                <w:rFonts w:ascii="仿宋" w:hAnsi="仿宋" w:eastAsia="仿宋"/>
                <w:sz w:val="22"/>
                <w:szCs w:val="22"/>
              </w:rPr>
            </w:pPr>
          </w:p>
        </w:tc>
        <w:tc>
          <w:tcPr>
            <w:tcW w:w="1111" w:type="pct"/>
            <w:shd w:val="clear" w:color="auto" w:fill="auto"/>
          </w:tcPr>
          <w:p>
            <w:pPr>
              <w:rPr>
                <w:rFonts w:ascii="仿宋" w:hAnsi="仿宋" w:eastAsia="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16" w:type="pct"/>
            <w:shd w:val="clear" w:color="auto" w:fill="auto"/>
          </w:tcPr>
          <w:p>
            <w:pPr>
              <w:rPr>
                <w:rFonts w:ascii="仿宋" w:hAnsi="仿宋" w:eastAsia="仿宋"/>
                <w:sz w:val="22"/>
                <w:szCs w:val="22"/>
              </w:rPr>
            </w:pPr>
          </w:p>
        </w:tc>
        <w:tc>
          <w:tcPr>
            <w:tcW w:w="1277" w:type="pct"/>
            <w:shd w:val="clear" w:color="auto" w:fill="auto"/>
          </w:tcPr>
          <w:p>
            <w:pPr>
              <w:rPr>
                <w:rFonts w:ascii="仿宋" w:hAnsi="仿宋" w:eastAsia="仿宋"/>
                <w:sz w:val="22"/>
                <w:szCs w:val="22"/>
              </w:rPr>
            </w:pPr>
          </w:p>
        </w:tc>
        <w:tc>
          <w:tcPr>
            <w:tcW w:w="1296" w:type="pct"/>
            <w:shd w:val="clear" w:color="auto" w:fill="auto"/>
          </w:tcPr>
          <w:p>
            <w:pPr>
              <w:rPr>
                <w:rFonts w:ascii="仿宋" w:hAnsi="仿宋" w:eastAsia="仿宋"/>
                <w:sz w:val="22"/>
                <w:szCs w:val="22"/>
              </w:rPr>
            </w:pPr>
          </w:p>
        </w:tc>
        <w:tc>
          <w:tcPr>
            <w:tcW w:w="1111" w:type="pct"/>
            <w:shd w:val="clear" w:color="auto" w:fill="auto"/>
          </w:tcPr>
          <w:p>
            <w:pPr>
              <w:rPr>
                <w:rFonts w:ascii="仿宋" w:hAnsi="仿宋" w:eastAsia="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316" w:type="pct"/>
            <w:shd w:val="clear" w:color="auto" w:fill="auto"/>
          </w:tcPr>
          <w:p>
            <w:pPr>
              <w:rPr>
                <w:rFonts w:ascii="仿宋" w:hAnsi="仿宋" w:eastAsia="仿宋"/>
                <w:sz w:val="22"/>
                <w:szCs w:val="22"/>
              </w:rPr>
            </w:pPr>
          </w:p>
        </w:tc>
        <w:tc>
          <w:tcPr>
            <w:tcW w:w="1277" w:type="pct"/>
            <w:shd w:val="clear" w:color="auto" w:fill="auto"/>
          </w:tcPr>
          <w:p>
            <w:pPr>
              <w:rPr>
                <w:rFonts w:ascii="仿宋" w:hAnsi="仿宋" w:eastAsia="仿宋"/>
                <w:sz w:val="22"/>
                <w:szCs w:val="22"/>
              </w:rPr>
            </w:pPr>
          </w:p>
        </w:tc>
        <w:tc>
          <w:tcPr>
            <w:tcW w:w="1296" w:type="pct"/>
            <w:shd w:val="clear" w:color="auto" w:fill="auto"/>
          </w:tcPr>
          <w:p>
            <w:pPr>
              <w:rPr>
                <w:rFonts w:ascii="仿宋" w:hAnsi="仿宋" w:eastAsia="仿宋"/>
                <w:sz w:val="22"/>
                <w:szCs w:val="22"/>
              </w:rPr>
            </w:pPr>
          </w:p>
        </w:tc>
        <w:tc>
          <w:tcPr>
            <w:tcW w:w="1111" w:type="pct"/>
            <w:shd w:val="clear" w:color="auto" w:fill="auto"/>
          </w:tcPr>
          <w:p>
            <w:pPr>
              <w:rPr>
                <w:rFonts w:ascii="仿宋" w:hAnsi="仿宋" w:eastAsia="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16" w:type="pct"/>
            <w:shd w:val="clear" w:color="auto" w:fill="auto"/>
          </w:tcPr>
          <w:p>
            <w:pPr>
              <w:rPr>
                <w:rFonts w:ascii="仿宋" w:hAnsi="仿宋" w:eastAsia="仿宋"/>
                <w:sz w:val="22"/>
                <w:szCs w:val="22"/>
              </w:rPr>
            </w:pPr>
          </w:p>
        </w:tc>
        <w:tc>
          <w:tcPr>
            <w:tcW w:w="1277" w:type="pct"/>
            <w:shd w:val="clear" w:color="auto" w:fill="auto"/>
          </w:tcPr>
          <w:p>
            <w:pPr>
              <w:rPr>
                <w:rFonts w:ascii="仿宋" w:hAnsi="仿宋" w:eastAsia="仿宋"/>
                <w:sz w:val="22"/>
                <w:szCs w:val="22"/>
              </w:rPr>
            </w:pPr>
          </w:p>
        </w:tc>
        <w:tc>
          <w:tcPr>
            <w:tcW w:w="1296" w:type="pct"/>
            <w:shd w:val="clear" w:color="auto" w:fill="auto"/>
          </w:tcPr>
          <w:p>
            <w:pPr>
              <w:rPr>
                <w:rFonts w:ascii="仿宋" w:hAnsi="仿宋" w:eastAsia="仿宋"/>
                <w:sz w:val="22"/>
                <w:szCs w:val="22"/>
              </w:rPr>
            </w:pPr>
          </w:p>
        </w:tc>
        <w:tc>
          <w:tcPr>
            <w:tcW w:w="1111" w:type="pct"/>
            <w:shd w:val="clear" w:color="auto" w:fill="auto"/>
          </w:tcPr>
          <w:p>
            <w:pPr>
              <w:rPr>
                <w:rFonts w:ascii="仿宋" w:hAnsi="仿宋" w:eastAsia="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jc w:val="center"/>
        </w:trPr>
        <w:tc>
          <w:tcPr>
            <w:tcW w:w="5000" w:type="pct"/>
            <w:gridSpan w:val="4"/>
            <w:shd w:val="clear" w:color="auto" w:fill="auto"/>
          </w:tcPr>
          <w:p>
            <w:pPr>
              <w:rPr>
                <w:rFonts w:ascii="仿宋" w:hAnsi="仿宋" w:eastAsia="仿宋"/>
                <w:sz w:val="22"/>
                <w:szCs w:val="22"/>
              </w:rPr>
            </w:pPr>
            <w:r>
              <w:rPr>
                <w:rFonts w:hint="eastAsia" w:ascii="仿宋" w:hAnsi="仿宋" w:eastAsia="仿宋"/>
                <w:sz w:val="22"/>
                <w:szCs w:val="22"/>
              </w:rPr>
              <w:t>验收出现的问题与解决方法</w:t>
            </w:r>
            <w:r>
              <w:rPr>
                <w:rFonts w:ascii="仿宋" w:hAnsi="仿宋" w:eastAsia="仿宋"/>
                <w:sz w:val="22"/>
                <w:szCs w:val="22"/>
              </w:rPr>
              <w:t>: ( 验收双方共同确认)</w:t>
            </w:r>
          </w:p>
          <w:p>
            <w:pPr>
              <w:rPr>
                <w:rFonts w:ascii="仿宋" w:hAnsi="仿宋" w:eastAsia="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jc w:val="center"/>
        </w:trPr>
        <w:tc>
          <w:tcPr>
            <w:tcW w:w="5000" w:type="pct"/>
            <w:gridSpan w:val="4"/>
            <w:shd w:val="clear" w:color="auto" w:fill="auto"/>
          </w:tcPr>
          <w:p>
            <w:pPr>
              <w:rPr>
                <w:rFonts w:ascii="仿宋" w:hAnsi="仿宋" w:eastAsia="仿宋"/>
                <w:sz w:val="22"/>
                <w:szCs w:val="22"/>
              </w:rPr>
            </w:pPr>
            <w:r>
              <w:rPr>
                <w:rFonts w:hint="eastAsia" w:ascii="仿宋" w:hAnsi="仿宋" w:eastAsia="仿宋"/>
                <w:sz w:val="22"/>
                <w:szCs w:val="22"/>
              </w:rPr>
              <w:t>用户方意见</w:t>
            </w:r>
            <w:r>
              <w:rPr>
                <w:rFonts w:ascii="仿宋" w:hAnsi="仿宋" w:eastAsia="仿宋"/>
                <w:sz w:val="22"/>
                <w:szCs w:val="22"/>
              </w:rPr>
              <w:t>:</w:t>
            </w:r>
          </w:p>
          <w:p>
            <w:pPr>
              <w:rPr>
                <w:rFonts w:ascii="仿宋" w:hAnsi="仿宋" w:eastAsia="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2593" w:type="pct"/>
            <w:gridSpan w:val="2"/>
            <w:shd w:val="clear" w:color="auto" w:fill="auto"/>
          </w:tcPr>
          <w:p>
            <w:pPr>
              <w:rPr>
                <w:rFonts w:ascii="仿宋" w:hAnsi="仿宋" w:eastAsia="仿宋"/>
                <w:sz w:val="22"/>
                <w:szCs w:val="22"/>
              </w:rPr>
            </w:pPr>
            <w:r>
              <w:rPr>
                <w:rFonts w:hint="eastAsia" w:ascii="仿宋" w:hAnsi="仿宋" w:eastAsia="仿宋"/>
                <w:sz w:val="22"/>
                <w:szCs w:val="22"/>
              </w:rPr>
              <w:t>实施单位负责人签字</w:t>
            </w:r>
          </w:p>
          <w:p>
            <w:pPr>
              <w:rPr>
                <w:rFonts w:ascii="仿宋" w:hAnsi="仿宋" w:eastAsia="仿宋"/>
                <w:sz w:val="22"/>
                <w:szCs w:val="22"/>
              </w:rPr>
            </w:pPr>
          </w:p>
        </w:tc>
        <w:tc>
          <w:tcPr>
            <w:tcW w:w="2407" w:type="pct"/>
            <w:gridSpan w:val="2"/>
            <w:shd w:val="clear" w:color="auto" w:fill="auto"/>
          </w:tcPr>
          <w:p>
            <w:pPr>
              <w:rPr>
                <w:rFonts w:ascii="仿宋" w:hAnsi="仿宋" w:eastAsia="仿宋"/>
                <w:sz w:val="22"/>
                <w:szCs w:val="22"/>
              </w:rPr>
            </w:pPr>
            <w:r>
              <w:rPr>
                <w:rFonts w:hint="eastAsia" w:ascii="仿宋" w:hAnsi="仿宋" w:eastAsia="仿宋"/>
                <w:sz w:val="22"/>
                <w:szCs w:val="22"/>
              </w:rPr>
              <w:t>用户单位负责人签字</w:t>
            </w:r>
          </w:p>
          <w:p>
            <w:pPr>
              <w:rPr>
                <w:rFonts w:ascii="仿宋" w:hAnsi="仿宋" w:eastAsia="仿宋"/>
                <w:sz w:val="22"/>
                <w:szCs w:val="22"/>
              </w:rPr>
            </w:pPr>
          </w:p>
        </w:tc>
      </w:tr>
    </w:tbl>
    <w:p>
      <w:pPr>
        <w:rPr>
          <w:rFonts w:ascii="仿宋" w:hAnsi="仿宋" w:eastAsia="仿宋"/>
          <w:sz w:val="22"/>
          <w:szCs w:val="22"/>
        </w:rPr>
      </w:pPr>
      <w:r>
        <w:rPr>
          <w:rFonts w:hint="eastAsia" w:ascii="仿宋" w:hAnsi="仿宋" w:eastAsia="仿宋"/>
          <w:sz w:val="22"/>
          <w:szCs w:val="22"/>
        </w:rPr>
        <w:t xml:space="preserve"> </w:t>
      </w:r>
      <w:r>
        <w:rPr>
          <w:rFonts w:ascii="仿宋" w:hAnsi="仿宋" w:eastAsia="仿宋"/>
          <w:sz w:val="22"/>
          <w:szCs w:val="22"/>
        </w:rPr>
        <w:t xml:space="preserve">                                    </w:t>
      </w:r>
      <w:r>
        <w:rPr>
          <w:rFonts w:hint="eastAsia" w:ascii="仿宋" w:hAnsi="仿宋" w:eastAsia="仿宋"/>
          <w:sz w:val="22"/>
          <w:szCs w:val="22"/>
        </w:rPr>
        <w:t>日期</w:t>
      </w:r>
      <w:r>
        <w:rPr>
          <w:rFonts w:ascii="仿宋" w:hAnsi="仿宋" w:eastAsia="仿宋"/>
          <w:sz w:val="22"/>
          <w:szCs w:val="22"/>
        </w:rPr>
        <w:t xml:space="preserve">:    </w:t>
      </w:r>
      <w:r>
        <w:rPr>
          <w:rFonts w:hint="eastAsia" w:ascii="仿宋" w:hAnsi="仿宋" w:eastAsia="仿宋"/>
          <w:sz w:val="22"/>
          <w:szCs w:val="22"/>
        </w:rPr>
        <w:t xml:space="preserve">年 </w:t>
      </w:r>
      <w:r>
        <w:rPr>
          <w:rFonts w:ascii="仿宋" w:hAnsi="仿宋" w:eastAsia="仿宋"/>
          <w:sz w:val="22"/>
          <w:szCs w:val="22"/>
        </w:rPr>
        <w:t xml:space="preserve"> </w:t>
      </w:r>
      <w:r>
        <w:rPr>
          <w:rFonts w:hint="eastAsia" w:ascii="仿宋" w:hAnsi="仿宋" w:eastAsia="仿宋"/>
          <w:sz w:val="22"/>
          <w:szCs w:val="22"/>
        </w:rPr>
        <w:t xml:space="preserve">月 </w:t>
      </w:r>
      <w:r>
        <w:rPr>
          <w:rFonts w:ascii="仿宋" w:hAnsi="仿宋" w:eastAsia="仿宋"/>
          <w:sz w:val="22"/>
          <w:szCs w:val="22"/>
        </w:rPr>
        <w:t xml:space="preserve"> </w:t>
      </w:r>
      <w:r>
        <w:rPr>
          <w:rFonts w:hint="eastAsia" w:ascii="仿宋" w:hAnsi="仿宋" w:eastAsia="仿宋"/>
          <w:sz w:val="22"/>
          <w:szCs w:val="22"/>
        </w:rPr>
        <w:t>日</w:t>
      </w:r>
    </w:p>
    <w:p>
      <w:pPr>
        <w:pStyle w:val="8"/>
        <w:spacing w:line="400" w:lineRule="exact"/>
        <w:ind w:firstLine="482" w:firstLineChars="200"/>
        <w:rPr>
          <w:rFonts w:ascii="仿宋" w:hAnsi="仿宋" w:eastAsia="仿宋" w:cs="仿宋"/>
          <w:b/>
          <w:bCs/>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7AFA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left="420" w:firstLine="420" w:firstLineChars="200"/>
    </w:pPr>
    <w:rPr>
      <w:rFonts w:hAnsi="@仿宋_GB2312" w:eastAsia="楷体_GB2312"/>
      <w:kern w:val="2"/>
      <w:sz w:val="32"/>
      <w:szCs w:val="20"/>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2023-04-17T06:45:11Z</dcterms:created>
  <dc:creator>Administrator</dc:creator>
  <cp:lastModifiedBy>周敏</cp:lastModifiedBy>
  <dcterms:modified xsi:type="dcterms:W3CDTF">2023-04-17T06:45:18Z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C2C2BC12BEF245FBB95E640C78B88B1C_12</vt:lpwstr>
  </property>
</Properties>
</file>