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方正小标宋_GBK" w:hAnsi="方正小标宋_GBK" w:eastAsia="方正小标宋_GBK" w:cs="方正小标宋_GBK"/>
          <w:b w:val="0"/>
          <w:bCs w:val="0"/>
          <w:color w:val="auto"/>
          <w:sz w:val="32"/>
          <w:szCs w:val="32"/>
          <w:lang w:eastAsia="zh-CN"/>
        </w:rPr>
      </w:pPr>
      <w:bookmarkStart w:id="0" w:name="_Toc285612596"/>
      <w:r>
        <w:rPr>
          <w:rFonts w:hint="eastAsia" w:ascii="宋体" w:hAnsi="宋体" w:cs="宋体"/>
          <w:b/>
          <w:color w:val="auto"/>
          <w:sz w:val="32"/>
          <w:szCs w:val="32"/>
          <w:lang w:val="en-US" w:eastAsia="zh-CN"/>
        </w:rPr>
        <w:t xml:space="preserve">附件： </w:t>
      </w:r>
      <w:r>
        <w:rPr>
          <w:rFonts w:hint="eastAsia" w:ascii="宋体" w:hAnsi="宋体" w:cs="宋体"/>
          <w:b/>
          <w:color w:val="auto"/>
          <w:sz w:val="32"/>
          <w:szCs w:val="32"/>
        </w:rPr>
        <w:t>采购</w:t>
      </w:r>
      <w:r>
        <w:rPr>
          <w:rFonts w:hint="eastAsia" w:ascii="方正小标宋_GBK" w:hAnsi="方正小标宋_GBK" w:eastAsia="方正小标宋_GBK" w:cs="方正小标宋_GBK"/>
          <w:b w:val="0"/>
          <w:bCs w:val="0"/>
          <w:color w:val="auto"/>
          <w:sz w:val="32"/>
          <w:szCs w:val="32"/>
          <w:lang w:eastAsia="zh-CN"/>
        </w:rPr>
        <w:t>项目需求及技术要求</w:t>
      </w:r>
    </w:p>
    <w:p>
      <w:pPr>
        <w:pStyle w:val="6"/>
        <w:widowControl w:val="0"/>
        <w:numPr>
          <w:ilvl w:val="0"/>
          <w:numId w:val="0"/>
        </w:numPr>
        <w:jc w:val="both"/>
        <w:rPr>
          <w:rFonts w:hint="eastAsia"/>
          <w:color w:val="auto"/>
          <w:lang w:eastAsia="zh-CN"/>
        </w:rPr>
      </w:pPr>
    </w:p>
    <w:p>
      <w:pPr>
        <w:pStyle w:val="6"/>
        <w:widowControl w:val="0"/>
        <w:numPr>
          <w:ilvl w:val="0"/>
          <w:numId w:val="0"/>
        </w:numPr>
        <w:jc w:val="both"/>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
          <w:color w:val="auto"/>
          <w:sz w:val="28"/>
          <w:szCs w:val="28"/>
        </w:rPr>
      </w:pPr>
      <w:r>
        <w:rPr>
          <w:rFonts w:hint="eastAsia" w:ascii="宋体" w:hAnsi="宋体" w:eastAsia="宋体"/>
          <w:b/>
          <w:color w:val="auto"/>
          <w:sz w:val="28"/>
          <w:szCs w:val="28"/>
        </w:rPr>
        <w:t>前注：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本说明中提出的技术方案仅为参考，如无明确限制，供应商可以进行优化，提供满足用户实际需要的更优（或者性能实质上不低于的）技术方案或者设备配置，且此方案或配置须经磋商小组评审认可；</w:t>
      </w:r>
      <w:r>
        <w:rPr>
          <w:rFonts w:hint="eastAsia" w:ascii="仿宋" w:hAnsi="仿宋" w:eastAsia="仿宋" w:cs="仿宋"/>
          <w:color w:val="auto"/>
          <w:sz w:val="24"/>
          <w:szCs w:val="24"/>
          <w:lang w:eastAsia="zh-CN"/>
        </w:rPr>
        <w:cr/>
      </w:r>
      <w:r>
        <w:rPr>
          <w:rFonts w:hint="eastAsia" w:ascii="仿宋" w:hAnsi="仿宋" w:eastAsia="仿宋" w:cs="仿宋"/>
          <w:color w:val="auto"/>
          <w:sz w:val="24"/>
          <w:szCs w:val="24"/>
          <w:lang w:val="en-US" w:eastAsia="zh-CN"/>
        </w:rPr>
        <w:t xml:space="preserve">    2.</w:t>
      </w:r>
      <w:r>
        <w:rPr>
          <w:rFonts w:hint="eastAsia" w:ascii="仿宋" w:hAnsi="仿宋" w:eastAsia="仿宋" w:cs="仿宋"/>
          <w:color w:val="auto"/>
          <w:sz w:val="24"/>
          <w:szCs w:val="24"/>
          <w:lang w:eastAsia="zh-CN"/>
        </w:rPr>
        <w:t>为鼓励不同品牌的充分竞争，如某设备的某技术参数或要求属于个别品牌专有，则该技术参数及要求不具有限制性，供应商可对该参数或要求进行适当调整，并应当说明调整的理由，且此调整须经磋商小组评审认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为有助于供应商选择磋商产品，项目说明中可能提供了推荐品牌（或型号）、参考品牌（或型号）等，这些品牌（或型号）仅供参考，并无限制性。供应商可以选择性能不低于推荐（或参考）的品牌（或型号）的其他品牌产品，但磋商时应当提有关技术证明资料，未提供的可能导致磋商无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一、采购需求一览表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00"/>
        <w:gridCol w:w="3789"/>
        <w:gridCol w:w="1977"/>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94" w:type="dxa"/>
            <w:noWrap w:val="0"/>
            <w:vAlign w:val="center"/>
          </w:tcPr>
          <w:p>
            <w:pPr>
              <w:numPr>
                <w:ilvl w:val="0"/>
                <w:numId w:val="0"/>
              </w:numPr>
              <w:ind w:left="0" w:leftChars="0" w:firstLine="0" w:firstLineChars="0"/>
              <w:jc w:val="center"/>
              <w:rPr>
                <w:rFonts w:hint="eastAsia" w:ascii="楷体" w:hAnsi="楷体" w:eastAsia="楷体" w:cs="楷体"/>
                <w:b/>
                <w:bCs/>
                <w:color w:val="auto"/>
                <w:sz w:val="24"/>
                <w:szCs w:val="24"/>
                <w:vertAlign w:val="baseline"/>
                <w:lang w:eastAsia="zh-CN"/>
              </w:rPr>
            </w:pPr>
            <w:bookmarkStart w:id="1" w:name="_GoBack"/>
            <w:r>
              <w:rPr>
                <w:rFonts w:hint="eastAsia" w:ascii="楷体" w:hAnsi="楷体" w:eastAsia="楷体" w:cs="楷体"/>
                <w:b/>
                <w:bCs/>
                <w:color w:val="auto"/>
                <w:sz w:val="24"/>
                <w:szCs w:val="24"/>
                <w:vertAlign w:val="baseline"/>
                <w:lang w:eastAsia="zh-CN"/>
              </w:rPr>
              <w:t>序号</w:t>
            </w:r>
          </w:p>
        </w:tc>
        <w:tc>
          <w:tcPr>
            <w:tcW w:w="1600" w:type="dxa"/>
            <w:noWrap w:val="0"/>
            <w:vAlign w:val="center"/>
          </w:tcPr>
          <w:p>
            <w:pPr>
              <w:numPr>
                <w:ilvl w:val="0"/>
                <w:numId w:val="0"/>
              </w:numPr>
              <w:ind w:left="0" w:leftChars="0" w:firstLine="0" w:firstLineChars="0"/>
              <w:jc w:val="center"/>
              <w:rPr>
                <w:rFonts w:hint="eastAsia" w:ascii="楷体" w:hAnsi="楷体" w:eastAsia="楷体" w:cs="楷体"/>
                <w:b/>
                <w:bCs/>
                <w:color w:val="auto"/>
                <w:kern w:val="2"/>
                <w:sz w:val="24"/>
                <w:szCs w:val="24"/>
                <w:vertAlign w:val="baseline"/>
                <w:lang w:val="en-US" w:eastAsia="zh-CN" w:bidi="ar-SA"/>
              </w:rPr>
            </w:pPr>
            <w:r>
              <w:rPr>
                <w:rFonts w:hint="eastAsia" w:ascii="楷体" w:hAnsi="楷体" w:eastAsia="楷体" w:cs="楷体"/>
                <w:b/>
                <w:bCs/>
                <w:color w:val="auto"/>
                <w:sz w:val="24"/>
                <w:szCs w:val="24"/>
                <w:vertAlign w:val="baseline"/>
                <w:lang w:eastAsia="zh-CN"/>
              </w:rPr>
              <w:t>产品名称</w:t>
            </w:r>
          </w:p>
        </w:tc>
        <w:tc>
          <w:tcPr>
            <w:tcW w:w="3789" w:type="dxa"/>
            <w:noWrap w:val="0"/>
            <w:vAlign w:val="center"/>
          </w:tcPr>
          <w:p>
            <w:pPr>
              <w:numPr>
                <w:ilvl w:val="0"/>
                <w:numId w:val="0"/>
              </w:numPr>
              <w:ind w:left="0" w:leftChars="0" w:firstLine="0" w:firstLineChars="0"/>
              <w:jc w:val="center"/>
              <w:rPr>
                <w:rFonts w:hint="eastAsia" w:ascii="楷体" w:hAnsi="楷体" w:eastAsia="楷体" w:cs="楷体"/>
                <w:b/>
                <w:bCs/>
                <w:color w:val="auto"/>
                <w:sz w:val="24"/>
                <w:szCs w:val="24"/>
                <w:vertAlign w:val="baseline"/>
                <w:lang w:val="en-US" w:eastAsia="zh-CN" w:bidi="ar-SA"/>
              </w:rPr>
            </w:pPr>
            <w:r>
              <w:rPr>
                <w:rFonts w:hint="eastAsia" w:ascii="楷体" w:hAnsi="楷体" w:eastAsia="楷体" w:cs="楷体"/>
                <w:b/>
                <w:bCs/>
                <w:color w:val="auto"/>
                <w:sz w:val="24"/>
                <w:szCs w:val="24"/>
                <w:vertAlign w:val="baseline"/>
                <w:lang w:eastAsia="zh-CN"/>
              </w:rPr>
              <w:t>技术参数</w:t>
            </w:r>
          </w:p>
        </w:tc>
        <w:tc>
          <w:tcPr>
            <w:tcW w:w="1977" w:type="dxa"/>
            <w:noWrap w:val="0"/>
            <w:vAlign w:val="center"/>
          </w:tcPr>
          <w:p>
            <w:pPr>
              <w:numPr>
                <w:ilvl w:val="0"/>
                <w:numId w:val="0"/>
              </w:numPr>
              <w:ind w:left="0" w:leftChars="0" w:firstLine="0" w:firstLineChars="0"/>
              <w:jc w:val="center"/>
              <w:rPr>
                <w:rFonts w:hint="eastAsia" w:ascii="楷体" w:hAnsi="楷体" w:eastAsia="楷体" w:cs="楷体"/>
                <w:b/>
                <w:bCs/>
                <w:color w:val="auto"/>
                <w:sz w:val="24"/>
                <w:szCs w:val="24"/>
                <w:vertAlign w:val="baseline"/>
                <w:lang w:val="en-US" w:eastAsia="zh-CN" w:bidi="ar-SA"/>
              </w:rPr>
            </w:pPr>
            <w:r>
              <w:rPr>
                <w:rFonts w:hint="eastAsia" w:ascii="楷体" w:hAnsi="楷体" w:eastAsia="楷体" w:cs="楷体"/>
                <w:b/>
                <w:bCs/>
                <w:color w:val="auto"/>
                <w:sz w:val="24"/>
                <w:szCs w:val="24"/>
                <w:vertAlign w:val="baseline"/>
                <w:lang w:eastAsia="zh-CN"/>
              </w:rPr>
              <w:t>单位</w:t>
            </w:r>
          </w:p>
        </w:tc>
        <w:tc>
          <w:tcPr>
            <w:tcW w:w="1289" w:type="dxa"/>
            <w:noWrap w:val="0"/>
            <w:vAlign w:val="center"/>
          </w:tcPr>
          <w:p>
            <w:pPr>
              <w:numPr>
                <w:ilvl w:val="0"/>
                <w:numId w:val="0"/>
              </w:numPr>
              <w:ind w:left="0" w:leftChars="0" w:firstLine="0" w:firstLineChars="0"/>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液晶电视</w:t>
            </w:r>
          </w:p>
        </w:tc>
        <w:tc>
          <w:tcPr>
            <w:tcW w:w="3789" w:type="dxa"/>
            <w:noWrap w:val="0"/>
            <w:vAlign w:val="center"/>
          </w:tcPr>
          <w:p>
            <w:pPr>
              <w:numPr>
                <w:ilvl w:val="0"/>
                <w:numId w:val="0"/>
              </w:numPr>
              <w:ind w:left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1.能效等级：四级能效或优于         </w:t>
            </w:r>
          </w:p>
          <w:p>
            <w:pPr>
              <w:numPr>
                <w:ilvl w:val="0"/>
                <w:numId w:val="0"/>
              </w:numPr>
              <w:ind w:left="0" w:leftChars="0" w:firstLine="0" w:firstLine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2.分辨率：4K               </w:t>
            </w:r>
          </w:p>
          <w:p>
            <w:pPr>
              <w:numPr>
                <w:ilvl w:val="0"/>
                <w:numId w:val="0"/>
              </w:numPr>
              <w:ind w:left="0" w:leftChars="0" w:firstLine="0" w:firstLine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3.功率：70W 或优于              </w:t>
            </w:r>
          </w:p>
          <w:p>
            <w:pPr>
              <w:numPr>
                <w:ilvl w:val="0"/>
                <w:numId w:val="0"/>
              </w:numPr>
              <w:ind w:left="0" w:leftChars="0" w:firstLine="0" w:firstLineChars="0"/>
              <w:jc w:val="both"/>
              <w:rPr>
                <w:rFonts w:hint="eastAsia" w:ascii="仿宋" w:hAnsi="仿宋" w:eastAsia="仿宋" w:cs="仿宋"/>
                <w:color w:val="auto"/>
                <w:sz w:val="21"/>
                <w:szCs w:val="21"/>
                <w:highlight w:val="none"/>
                <w:vertAlign w:val="baseli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4.尺寸：43英寸</w:t>
            </w:r>
          </w:p>
        </w:tc>
        <w:tc>
          <w:tcPr>
            <w:tcW w:w="19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1289" w:type="dxa"/>
            <w:noWrap w:val="0"/>
            <w:vAlign w:val="center"/>
          </w:tcPr>
          <w:p>
            <w:pPr>
              <w:pStyle w:val="2"/>
              <w:ind w:left="0" w:leftChars="0" w:firstLine="0" w:firstLine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电热水器</w:t>
            </w:r>
          </w:p>
        </w:tc>
        <w:tc>
          <w:tcPr>
            <w:tcW w:w="3789" w:type="dxa"/>
            <w:noWrap w:val="0"/>
            <w:vAlign w:val="center"/>
          </w:tcPr>
          <w:p>
            <w:pPr>
              <w:numPr>
                <w:ilvl w:val="0"/>
                <w:numId w:val="0"/>
              </w:numPr>
              <w:ind w:left="0" w:leftChars="0" w:firstLine="0" w:firstLine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1.名称：壁挂式电热水器  </w:t>
            </w:r>
          </w:p>
          <w:p>
            <w:pPr>
              <w:numPr>
                <w:ilvl w:val="0"/>
                <w:numId w:val="0"/>
              </w:numPr>
              <w:ind w:left="0" w:leftChars="0" w:firstLine="0" w:firstLine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2.容量：60L               </w:t>
            </w:r>
          </w:p>
          <w:p>
            <w:pPr>
              <w:numPr>
                <w:ilvl w:val="0"/>
                <w:numId w:val="0"/>
              </w:numPr>
              <w:ind w:left="0" w:leftChars="0" w:firstLine="0" w:firstLine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3.功率：2100W 或优于              </w:t>
            </w:r>
          </w:p>
          <w:p>
            <w:pPr>
              <w:numPr>
                <w:ilvl w:val="0"/>
                <w:numId w:val="0"/>
              </w:numPr>
              <w:ind w:left="0" w:leftChars="0" w:firstLine="0" w:firstLine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4.能效等级：一级        </w:t>
            </w:r>
          </w:p>
          <w:p>
            <w:pPr>
              <w:numPr>
                <w:ilvl w:val="0"/>
                <w:numId w:val="0"/>
              </w:numPr>
              <w:ind w:left="0" w:leftChars="0" w:firstLine="0" w:firstLineChars="0"/>
              <w:jc w:val="both"/>
              <w:rPr>
                <w:rFonts w:hint="eastAsia" w:ascii="仿宋" w:hAnsi="仿宋" w:eastAsia="仿宋" w:cs="仿宋"/>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5.带漏电保护措施</w:t>
            </w:r>
          </w:p>
        </w:tc>
        <w:tc>
          <w:tcPr>
            <w:tcW w:w="19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台</w:t>
            </w:r>
          </w:p>
        </w:tc>
        <w:tc>
          <w:tcPr>
            <w:tcW w:w="1289" w:type="dxa"/>
            <w:noWrap w:val="0"/>
            <w:vAlign w:val="center"/>
          </w:tcPr>
          <w:p>
            <w:pPr>
              <w:numPr>
                <w:ilvl w:val="0"/>
                <w:numId w:val="0"/>
              </w:numPr>
              <w:ind w:left="0" w:lef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洗衣机</w:t>
            </w:r>
          </w:p>
        </w:tc>
        <w:tc>
          <w:tcPr>
            <w:tcW w:w="3789" w:type="dxa"/>
            <w:noWrap w:val="0"/>
            <w:vAlign w:val="center"/>
          </w:tcPr>
          <w:p>
            <w:pPr>
              <w:numPr>
                <w:ilvl w:val="0"/>
                <w:numId w:val="0"/>
              </w:numPr>
              <w:ind w:left="0" w:lef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1.名称：全自动波轮洗衣机  </w:t>
            </w:r>
          </w:p>
          <w:p>
            <w:pPr>
              <w:numPr>
                <w:ilvl w:val="0"/>
                <w:numId w:val="0"/>
              </w:numPr>
              <w:ind w:left="0" w:leftChars="0" w:firstLine="0" w:firstLineChars="0"/>
              <w:jc w:val="both"/>
              <w:rPr>
                <w:rFonts w:hint="eastAsia" w:ascii="仿宋" w:hAnsi="仿宋" w:eastAsia="仿宋" w:cs="仿宋"/>
                <w:color w:val="auto"/>
                <w:sz w:val="21"/>
                <w:szCs w:val="21"/>
                <w:vertAlign w:val="baseline"/>
                <w:lang w:val="en-US" w:eastAsia="zh-CN"/>
              </w:rPr>
            </w:pPr>
            <w:r>
              <w:rPr>
                <w:rFonts w:hint="eastAsia" w:ascii="宋体" w:hAnsi="宋体" w:eastAsia="宋体" w:cs="宋体"/>
                <w:i w:val="0"/>
                <w:iCs w:val="0"/>
                <w:color w:val="auto"/>
                <w:kern w:val="0"/>
                <w:sz w:val="20"/>
                <w:szCs w:val="20"/>
                <w:u w:val="none"/>
                <w:lang w:val="en-US" w:eastAsia="zh-CN" w:bidi="ar"/>
              </w:rPr>
              <w:t xml:space="preserve">2.洗涤重量：6.5kg </w:t>
            </w:r>
          </w:p>
        </w:tc>
        <w:tc>
          <w:tcPr>
            <w:tcW w:w="19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color w:va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1289" w:type="dxa"/>
            <w:noWrap w:val="0"/>
            <w:vAlign w:val="center"/>
          </w:tcPr>
          <w:p>
            <w:pPr>
              <w:numPr>
                <w:ilvl w:val="0"/>
                <w:numId w:val="0"/>
              </w:numPr>
              <w:ind w:left="0" w:leftChars="0" w:firstLine="0" w:firstLineChars="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台灯</w:t>
            </w:r>
          </w:p>
        </w:tc>
        <w:tc>
          <w:tcPr>
            <w:tcW w:w="3789" w:type="dxa"/>
            <w:noWrap w:val="0"/>
            <w:vAlign w:val="center"/>
          </w:tcPr>
          <w:p>
            <w:pPr>
              <w:numPr>
                <w:ilvl w:val="0"/>
                <w:numId w:val="0"/>
              </w:numPr>
              <w:ind w:left="0" w:lef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1.名称：办公台灯         </w:t>
            </w:r>
          </w:p>
          <w:p>
            <w:pPr>
              <w:numPr>
                <w:ilvl w:val="0"/>
                <w:numId w:val="0"/>
              </w:numPr>
              <w:ind w:left="0" w:leftChars="0" w:firstLine="0" w:firstLineChars="0"/>
              <w:jc w:val="both"/>
              <w:rPr>
                <w:rFonts w:hint="eastAsia" w:ascii="仿宋" w:hAnsi="仿宋" w:eastAsia="仿宋" w:cs="仿宋"/>
                <w:color w:val="auto"/>
                <w:sz w:val="21"/>
                <w:szCs w:val="21"/>
                <w:vertAlign w:val="baseline"/>
                <w:lang w:val="en-US" w:eastAsia="zh-CN"/>
              </w:rPr>
            </w:pPr>
            <w:r>
              <w:rPr>
                <w:rFonts w:hint="eastAsia" w:ascii="宋体" w:hAnsi="宋体" w:eastAsia="宋体" w:cs="宋体"/>
                <w:i w:val="0"/>
                <w:iCs w:val="0"/>
                <w:color w:val="auto"/>
                <w:kern w:val="0"/>
                <w:sz w:val="20"/>
                <w:szCs w:val="20"/>
                <w:u w:val="none"/>
                <w:lang w:val="en-US" w:eastAsia="zh-CN" w:bidi="ar"/>
              </w:rPr>
              <w:t>2.规格型号：10W及以下</w:t>
            </w:r>
          </w:p>
        </w:tc>
        <w:tc>
          <w:tcPr>
            <w:tcW w:w="19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套</w:t>
            </w:r>
          </w:p>
        </w:tc>
        <w:tc>
          <w:tcPr>
            <w:tcW w:w="1289" w:type="dxa"/>
            <w:noWrap w:val="0"/>
            <w:vAlign w:val="center"/>
          </w:tcPr>
          <w:p>
            <w:pPr>
              <w:numPr>
                <w:ilvl w:val="0"/>
                <w:numId w:val="0"/>
              </w:numPr>
              <w:ind w:left="0" w:leftChars="0" w:firstLine="0" w:firstLineChars="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热水壶及水瓶</w:t>
            </w:r>
          </w:p>
        </w:tc>
        <w:tc>
          <w:tcPr>
            <w:tcW w:w="3789"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1.名称：热水壶及水瓶          </w:t>
            </w:r>
          </w:p>
          <w:p>
            <w:pPr>
              <w:numPr>
                <w:ilvl w:val="0"/>
                <w:numId w:val="0"/>
              </w:numPr>
              <w:ind w:leftChars="0"/>
              <w:jc w:val="both"/>
              <w:rPr>
                <w:rFonts w:hint="eastAsia" w:ascii="仿宋" w:hAnsi="仿宋" w:eastAsia="仿宋" w:cs="仿宋"/>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2.规格材质：热水壶容量1.7L、不锈钢材质；水瓶容量2L、不锈钢材质；</w:t>
            </w:r>
          </w:p>
        </w:tc>
        <w:tc>
          <w:tcPr>
            <w:tcW w:w="19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1289" w:type="dxa"/>
            <w:noWrap w:val="0"/>
            <w:vAlign w:val="center"/>
          </w:tcPr>
          <w:p>
            <w:pPr>
              <w:pStyle w:val="2"/>
              <w:ind w:left="0" w:leftChars="0" w:firstLine="0" w:firstLineChars="0"/>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2594" w:type="dxa"/>
            <w:gridSpan w:val="2"/>
            <w:noWrap w:val="0"/>
            <w:vAlign w:val="center"/>
          </w:tcPr>
          <w:p>
            <w:pPr>
              <w:numPr>
                <w:ilvl w:val="0"/>
                <w:numId w:val="0"/>
              </w:num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备注</w:t>
            </w:r>
          </w:p>
        </w:tc>
        <w:tc>
          <w:tcPr>
            <w:tcW w:w="70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 w:hAnsi="仿宋" w:eastAsia="仿宋" w:cs="仿宋"/>
                <w:color w:val="auto"/>
                <w:kern w:val="0"/>
                <w:sz w:val="22"/>
                <w:szCs w:val="22"/>
                <w:lang w:val="en-US" w:eastAsia="zh-CN" w:bidi="ar-SA"/>
              </w:rPr>
            </w:pPr>
            <w:r>
              <w:rPr>
                <w:rFonts w:hint="eastAsia" w:ascii="仿宋" w:hAnsi="仿宋" w:eastAsia="仿宋" w:cs="Times New Roman"/>
                <w:color w:val="auto"/>
                <w:sz w:val="24"/>
                <w:szCs w:val="24"/>
                <w:lang w:val="en-US" w:eastAsia="zh-CN"/>
              </w:rPr>
              <w:t>2.供应商的响应文件必须标明所投货物的品牌与参数，保证正品供货，提供相关资料等。</w:t>
            </w:r>
          </w:p>
        </w:tc>
      </w:tr>
      <w:bookmarkEnd w:id="1"/>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二、商务要求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（一）报价要求：</w:t>
      </w:r>
      <w:r>
        <w:rPr>
          <w:rFonts w:hint="eastAsia" w:ascii="仿宋" w:hAnsi="仿宋" w:eastAsia="仿宋" w:cs="仿宋"/>
          <w:color w:val="auto"/>
          <w:sz w:val="24"/>
          <w:szCs w:val="24"/>
          <w:lang w:val="en-US" w:eastAsia="zh-CN"/>
        </w:rPr>
        <w:t>供应商的报价应包括：人员费用、运输费用、安装及辅材费、管理费及税金等为完成磋商文件规定全部内容所需的一切应有费用。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（二）时间及地点要求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（1）时间要求：签订合同后15个工作日内完成供货及配送安装工作。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（2）交货地点：送至安庆市疾病预防控制中心</w:t>
      </w:r>
    </w:p>
    <w:p>
      <w:pPr>
        <w:spacing w:line="400" w:lineRule="exact"/>
        <w:ind w:firstLine="482" w:firstLineChars="200"/>
        <w:rPr>
          <w:rFonts w:hint="eastAsia" w:ascii="仿宋" w:hAnsi="仿宋" w:eastAsia="仿宋" w:cs="仿宋"/>
          <w:b/>
          <w:bCs/>
          <w:snapToGrid w:val="0"/>
          <w:color w:val="auto"/>
          <w:lang w:eastAsia="zh-CN"/>
        </w:rPr>
      </w:pPr>
      <w:r>
        <w:rPr>
          <w:rFonts w:hint="eastAsia" w:ascii="仿宋" w:hAnsi="仿宋" w:eastAsia="仿宋" w:cs="仿宋"/>
          <w:b/>
          <w:bCs/>
          <w:snapToGrid w:val="0"/>
          <w:color w:val="auto"/>
          <w:lang w:eastAsia="zh-CN"/>
        </w:rPr>
        <w:t>（三）售后服务</w:t>
      </w:r>
    </w:p>
    <w:p>
      <w:pPr>
        <w:spacing w:line="400" w:lineRule="exact"/>
        <w:ind w:firstLine="482" w:firstLineChars="200"/>
        <w:rPr>
          <w:rFonts w:hint="eastAsia" w:ascii="仿宋" w:hAnsi="仿宋" w:eastAsia="仿宋" w:cs="仿宋"/>
          <w:color w:val="auto"/>
          <w:lang w:eastAsia="zh-CN"/>
        </w:rPr>
      </w:pPr>
      <w:r>
        <w:rPr>
          <w:rFonts w:hint="eastAsia" w:ascii="仿宋" w:hAnsi="仿宋" w:eastAsia="仿宋" w:cs="仿宋"/>
          <w:b/>
          <w:bCs/>
          <w:color w:val="auto"/>
          <w:lang w:val="en-US" w:eastAsia="zh-CN"/>
        </w:rPr>
        <w:t>1.</w:t>
      </w:r>
      <w:r>
        <w:rPr>
          <w:rFonts w:hint="eastAsia" w:ascii="仿宋" w:hAnsi="仿宋" w:eastAsia="仿宋" w:cs="仿宋"/>
          <w:b/>
          <w:bCs/>
          <w:color w:val="auto"/>
        </w:rPr>
        <w:t>保修及售后服务：</w:t>
      </w:r>
      <w:r>
        <w:rPr>
          <w:rFonts w:hint="eastAsia" w:ascii="仿宋" w:hAnsi="仿宋" w:eastAsia="仿宋" w:cs="仿宋"/>
          <w:color w:val="auto"/>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color w:val="auto"/>
          <w:lang w:val="en-US" w:eastAsia="zh-CN"/>
        </w:rPr>
      </w:pPr>
      <w:r>
        <w:rPr>
          <w:rFonts w:hint="eastAsia" w:ascii="仿宋" w:hAnsi="仿宋" w:eastAsia="仿宋" w:cs="仿宋"/>
          <w:b/>
          <w:bCs/>
          <w:color w:val="auto"/>
          <w:lang w:val="en-US" w:eastAsia="zh-CN"/>
        </w:rPr>
        <w:t>2.供货要求：</w:t>
      </w:r>
      <w:r>
        <w:rPr>
          <w:rFonts w:hint="eastAsia" w:ascii="仿宋" w:hAnsi="仿宋" w:eastAsia="仿宋" w:cs="仿宋"/>
          <w:snapToGrid w:val="0"/>
          <w:color w:val="auto"/>
          <w:lang w:val="en-US" w:eastAsia="zh-CN"/>
        </w:rPr>
        <w:t>供应商成交以后，采购人向供应商发出供货通知书时，成交供应商应</w:t>
      </w:r>
      <w:r>
        <w:rPr>
          <w:rFonts w:hint="eastAsia" w:ascii="仿宋" w:hAnsi="仿宋" w:eastAsia="仿宋" w:cs="仿宋"/>
          <w:snapToGrid w:val="0"/>
          <w:color w:val="auto"/>
          <w:highlight w:val="none"/>
          <w:lang w:val="en-US" w:eastAsia="zh-CN"/>
        </w:rPr>
        <w:t>在15个日历</w:t>
      </w:r>
      <w:r>
        <w:rPr>
          <w:rFonts w:hint="eastAsia" w:ascii="仿宋" w:hAnsi="仿宋" w:eastAsia="仿宋" w:cs="仿宋"/>
          <w:snapToGrid w:val="0"/>
          <w:color w:val="auto"/>
          <w:lang w:val="en-US" w:eastAsia="zh-CN"/>
        </w:rPr>
        <w:t>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color w:val="auto"/>
          <w:lang w:val="zh-CN"/>
        </w:rPr>
      </w:pPr>
      <w:r>
        <w:rPr>
          <w:rFonts w:hint="eastAsia" w:ascii="仿宋" w:hAnsi="仿宋" w:eastAsia="仿宋" w:cs="仿宋"/>
          <w:snapToGrid w:val="0"/>
          <w:color w:val="auto"/>
          <w:lang w:val="en-US" w:eastAsia="zh-CN"/>
        </w:rPr>
        <w:t>3</w:t>
      </w:r>
      <w:r>
        <w:rPr>
          <w:rFonts w:hint="eastAsia" w:ascii="仿宋" w:hAnsi="仿宋" w:eastAsia="仿宋" w:cs="仿宋"/>
          <w:snapToGrid w:val="0"/>
          <w:color w:val="auto"/>
        </w:rPr>
        <w:t>.</w:t>
      </w:r>
      <w:r>
        <w:rPr>
          <w:rFonts w:hint="eastAsia" w:ascii="仿宋" w:hAnsi="仿宋" w:eastAsia="仿宋" w:cs="仿宋"/>
          <w:snapToGrid w:val="0"/>
          <w:color w:val="auto"/>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snapToGrid w:val="0"/>
          <w:color w:val="auto"/>
          <w:lang w:val="zh-CN"/>
        </w:rPr>
      </w:pPr>
      <w:r>
        <w:rPr>
          <w:rFonts w:hint="eastAsia" w:ascii="仿宋" w:hAnsi="仿宋" w:eastAsia="仿宋" w:cs="仿宋"/>
          <w:b/>
          <w:bCs/>
          <w:snapToGrid w:val="0"/>
          <w:color w:val="auto"/>
          <w:lang w:val="en-US" w:eastAsia="zh-CN"/>
        </w:rPr>
        <w:t>4.付款及结算方式：</w:t>
      </w:r>
      <w:r>
        <w:rPr>
          <w:rFonts w:hint="eastAsia" w:ascii="仿宋" w:hAnsi="仿宋" w:eastAsia="仿宋" w:cs="仿宋"/>
          <w:color w:val="auto"/>
        </w:rPr>
        <w:t>验收合格后</w:t>
      </w:r>
      <w:r>
        <w:rPr>
          <w:rFonts w:hint="eastAsia" w:ascii="仿宋" w:hAnsi="仿宋" w:eastAsia="仿宋" w:cs="仿宋"/>
          <w:snapToGrid w:val="0"/>
          <w:color w:val="auto"/>
          <w:lang w:val="zh-CN"/>
        </w:rPr>
        <w:t>，成交供应商按采购人要求凭国家正式发票及相关证明文件向采购人申请付款，采购人收到申请后在</w:t>
      </w:r>
      <w:r>
        <w:rPr>
          <w:rFonts w:hint="eastAsia" w:ascii="仿宋" w:hAnsi="仿宋" w:eastAsia="仿宋" w:cs="仿宋"/>
          <w:snapToGrid w:val="0"/>
          <w:color w:val="auto"/>
          <w:lang w:val="en-US" w:eastAsia="zh-CN"/>
        </w:rPr>
        <w:t>15</w:t>
      </w:r>
      <w:r>
        <w:rPr>
          <w:rFonts w:hint="eastAsia" w:ascii="仿宋" w:hAnsi="仿宋" w:eastAsia="仿宋" w:cs="仿宋"/>
          <w:snapToGrid w:val="0"/>
          <w:color w:val="auto"/>
          <w:lang w:val="zh-CN"/>
        </w:rPr>
        <w:t>个工作日内结清</w:t>
      </w:r>
      <w:r>
        <w:rPr>
          <w:rFonts w:hint="eastAsia" w:ascii="仿宋" w:hAnsi="仿宋" w:eastAsia="仿宋" w:cs="仿宋"/>
          <w:snapToGrid w:val="0"/>
          <w:color w:val="auto"/>
          <w:lang w:val="zh-CN" w:eastAsia="zh-CN"/>
        </w:rPr>
        <w:t>全部</w:t>
      </w:r>
      <w:r>
        <w:rPr>
          <w:rFonts w:hint="eastAsia" w:ascii="仿宋" w:hAnsi="仿宋" w:eastAsia="仿宋" w:cs="仿宋"/>
          <w:snapToGrid w:val="0"/>
          <w:color w:val="auto"/>
          <w:lang w:val="zh-CN"/>
        </w:rPr>
        <w:t>货款。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（四）投标保证金及履约保证金：</w:t>
      </w:r>
      <w:r>
        <w:rPr>
          <w:rFonts w:hint="eastAsia" w:ascii="仿宋" w:hAnsi="仿宋" w:eastAsia="仿宋" w:cs="仿宋"/>
          <w:color w:val="auto"/>
          <w:sz w:val="24"/>
          <w:szCs w:val="24"/>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（五）验收方法及标准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按照成交人的磋商文件和签订的采购合同和技术要求及标准对每一环节、标准的履约情况进行验收。验收结束后，应当出具验收书，由双方共同签署。</w:t>
      </w:r>
    </w:p>
    <w:bookmarkEnd w:id="0"/>
    <w:p>
      <w:pPr>
        <w:rPr>
          <w:color w:val="auto"/>
        </w:rPr>
      </w:pPr>
    </w:p>
    <w:p/>
    <w:sectPr>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3E5D7EA2"/>
    <w:rsid w:val="1D512C8D"/>
    <w:rsid w:val="35D4053D"/>
    <w:rsid w:val="3E09481A"/>
    <w:rsid w:val="3E5D7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qFormat/>
    <w:uiPriority w:val="0"/>
    <w:pPr>
      <w:ind w:firstLine="555"/>
    </w:pPr>
  </w:style>
  <w:style w:type="paragraph" w:styleId="4">
    <w:name w:val="Body Text First Indent"/>
    <w:basedOn w:val="5"/>
    <w:qFormat/>
    <w:uiPriority w:val="0"/>
    <w:pPr>
      <w:spacing w:line="360" w:lineRule="auto"/>
      <w:ind w:firstLine="241" w:firstLineChars="100"/>
      <w:jc w:val="center"/>
    </w:pPr>
    <w:rPr>
      <w:b/>
      <w:bCs/>
      <w:color w:val="000000"/>
      <w:kern w:val="0"/>
    </w:rPr>
  </w:style>
  <w:style w:type="paragraph" w:styleId="5">
    <w:name w:val="Body Text"/>
    <w:basedOn w:val="1"/>
    <w:qFormat/>
    <w:uiPriority w:val="0"/>
    <w:rPr>
      <w:sz w:val="21"/>
    </w:rPr>
  </w:style>
  <w:style w:type="paragraph" w:styleId="6">
    <w:name w:val="Plain Text"/>
    <w:basedOn w:val="1"/>
    <w:qFormat/>
    <w:uiPriority w:val="0"/>
    <w:rPr>
      <w:rFonts w:ascii="宋体" w:hAnsi="Courier New" w:cs="Courier New"/>
      <w:kern w:val="2"/>
      <w:szCs w:val="21"/>
    </w:rPr>
  </w:style>
  <w:style w:type="table" w:styleId="8">
    <w:name w:val="Table Grid"/>
    <w:basedOn w:val="7"/>
    <w:qFormat/>
    <w:uiPriority w:val="0"/>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1132</Words>
  <Characters>1182</Characters>
  <Lines>0</Lines>
  <Paragraphs>0</Paragraphs>
  <TotalTime>0</TotalTime>
  <ScaleCrop>false</ScaleCrop>
  <LinksUpToDate>false</LinksUpToDate>
  <CharactersWithSpaces>1288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2023-06-12T02:26:00Z</dcterms:created>
  <dc:creator>花开无叶，叶生无花</dc:creator>
  <cp:lastModifiedBy>花开无叶，叶生无花</cp:lastModifiedBy>
  <dcterms:modified xsi:type="dcterms:W3CDTF">2023-06-13T00:32:12Z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57C650A7BC364C3F8D61CA182FAB20BA_11</vt:lpwstr>
  </property>
</Properties>
</file>