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before="240" w:beforeLines="100"/>
        <w:jc w:val="center"/>
        <w:outlineLvl w:val="0"/>
        <w:rPr>
          <w:rFonts w:hint="eastAsia"/>
          <w:lang w:val="zh-CN"/>
        </w:rPr>
      </w:pPr>
      <w:bookmarkStart w:id="0" w:name="_Toc5240"/>
      <w:r>
        <w:rPr>
          <w:rFonts w:hint="eastAsia" w:ascii="方正小标宋_GBK" w:hAnsi="方正小标宋_GBK" w:eastAsia="方正小标宋_GBK" w:cs="方正小标宋_GBK"/>
          <w:sz w:val="32"/>
          <w:szCs w:val="32"/>
          <w:lang w:val="zh-CN"/>
        </w:rPr>
        <w:t>采购项目技术和商务要求</w:t>
      </w:r>
      <w:bookmarkEnd w:id="0"/>
    </w:p>
    <w:p>
      <w:pPr>
        <w:pStyle w:val="8"/>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为鼓励不同品牌的充分竞争，如某设备的某技术参数或要求属于个别品牌专有，则该技术参数及要求不具有限制性，供应商可对该参数或要求进行适当调整，但这种调整整体上要优于或相当于询价文件的相关要求，并说明调整理由，且该调整须经询价小组审核认可。</w:t>
      </w:r>
    </w:p>
    <w:p>
      <w:pPr>
        <w:pStyle w:val="8"/>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1.成交人提供的货物为进口产品的，供货时须向采购人提供所投进口产品的海关报关单等证明材料。</w:t>
      </w:r>
      <w:bookmarkStart w:id="1" w:name="_Toc24273"/>
    </w:p>
    <w:p>
      <w:pPr>
        <w:pStyle w:val="8"/>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2.原装进口的产品，如国内产品满足需求也可参与采购竞争。</w:t>
      </w:r>
    </w:p>
    <w:bookmarkEnd w:id="1"/>
    <w:p>
      <w:pPr>
        <w:pStyle w:val="11"/>
        <w:keepNext w:val="0"/>
        <w:keepLines w:val="0"/>
        <w:pageBreakBefore w:val="0"/>
        <w:widowControl w:val="0"/>
        <w:numPr>
          <w:ilvl w:val="0"/>
          <w:numId w:val="2"/>
        </w:numPr>
        <w:kinsoku/>
        <w:wordWrap/>
        <w:overflowPunct/>
        <w:topLinePunct w:val="0"/>
        <w:autoSpaceDE w:val="0"/>
        <w:autoSpaceDN w:val="0"/>
        <w:bidi w:val="0"/>
        <w:adjustRightInd w:val="0"/>
        <w:snapToGrid/>
        <w:spacing w:line="440" w:lineRule="exact"/>
        <w:jc w:val="both"/>
        <w:textAlignment w:val="auto"/>
        <w:rPr>
          <w:rFonts w:hint="eastAsia" w:ascii="Times New Roman" w:hAnsi="Times New Roman" w:eastAsia="黑体"/>
          <w:sz w:val="28"/>
          <w:szCs w:val="28"/>
          <w:lang w:eastAsia="zh-CN"/>
        </w:rPr>
      </w:pPr>
      <w:bookmarkStart w:id="2"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tbl>
      <w:tblPr>
        <w:tblStyle w:val="9"/>
        <w:tblW w:w="96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8"/>
        <w:gridCol w:w="834"/>
        <w:gridCol w:w="3114"/>
        <w:gridCol w:w="410"/>
        <w:gridCol w:w="700"/>
        <w:gridCol w:w="4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名称</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技术参数</w:t>
            </w:r>
          </w:p>
        </w:tc>
        <w:tc>
          <w:tcPr>
            <w:tcW w:w="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t>数量</w:t>
            </w:r>
          </w:p>
        </w:tc>
        <w:tc>
          <w:tcPr>
            <w:tcW w:w="40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7"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成品衣柜</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1.尺寸：1.6m*2.4m*0.6m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2.层板厚度≧15mm；门板厚度≧18mm；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3.材质：柜体、柜门及柜内隔板采用E0级环保生态板或优于该材质。                                 4.成品定制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5.颜色及柜内布局由采购人最终确定 。                                </w:t>
            </w:r>
          </w:p>
        </w:tc>
        <w:tc>
          <w:tcPr>
            <w:tcW w:w="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成品储物柜                 （物资仓库）</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1.尺寸：4.6m*2.4m*0.6m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2.层板厚度≧15mm；门板厚度≧18mm；</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3.材质：柜体、柜门及柜内隔板采用E0级环保生态板或优于该材质。                                 4.成品定制</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5.颜色及柜内布局由采购人最终确定 。                  </w:t>
            </w:r>
          </w:p>
        </w:tc>
        <w:tc>
          <w:tcPr>
            <w:tcW w:w="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 </w:t>
            </w:r>
          </w:p>
        </w:tc>
        <w:tc>
          <w:tcPr>
            <w:tcW w:w="40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4"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单人床和床头柜</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1.尺寸：1.2m*2m</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2.材质：实木</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3.结构：框架结构</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4.颜色：多色（可由采购人根据整体搭配进行选择）</w:t>
            </w:r>
          </w:p>
        </w:tc>
        <w:tc>
          <w:tcPr>
            <w:tcW w:w="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w:t>
            </w:r>
          </w:p>
        </w:tc>
        <w:tc>
          <w:tcPr>
            <w:tcW w:w="40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highlight w:val="none"/>
                <w:lang w:val="en-US" w:eastAsia="zh-CN"/>
              </w:rPr>
            </w:pPr>
            <w:r>
              <w:rPr>
                <w:rFonts w:hint="eastAsia"/>
                <w:highlight w:val="none"/>
                <w:lang w:val="en-US" w:eastAsia="zh-CN"/>
              </w:rPr>
              <w:drawing>
                <wp:inline distT="0" distB="0" distL="114300" distR="114300">
                  <wp:extent cx="1719580" cy="1196340"/>
                  <wp:effectExtent l="0" t="0" r="13970" b="3810"/>
                  <wp:docPr id="5" name="图片 1" descr="实木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实木床"/>
                          <pic:cNvPicPr>
                            <a:picLocks noChangeAspect="1"/>
                          </pic:cNvPicPr>
                        </pic:nvPicPr>
                        <pic:blipFill>
                          <a:blip r:embed="rId4"/>
                          <a:stretch>
                            <a:fillRect/>
                          </a:stretch>
                        </pic:blipFill>
                        <pic:spPr>
                          <a:xfrm>
                            <a:off x="0" y="0"/>
                            <a:ext cx="1719580" cy="1196340"/>
                          </a:xfrm>
                          <a:prstGeom prst="rect">
                            <a:avLst/>
                          </a:prstGeom>
                          <a:noFill/>
                          <a:ln>
                            <a:noFill/>
                          </a:ln>
                        </pic:spPr>
                      </pic:pic>
                    </a:graphicData>
                  </a:graphic>
                </wp:inline>
              </w:drawing>
            </w:r>
          </w:p>
          <w:p>
            <w:pPr>
              <w:pStyle w:val="2"/>
              <w:ind w:left="0" w:leftChars="0" w:firstLine="0" w:firstLineChars="0"/>
              <w:rPr>
                <w:rFonts w:hint="default"/>
                <w:highlight w:val="none"/>
                <w:lang w:val="en-US" w:eastAsia="zh-CN"/>
              </w:rPr>
            </w:pPr>
            <w:r>
              <w:rPr>
                <w:rFonts w:hint="eastAsia" w:ascii="宋体" w:hAnsi="宋体" w:eastAsia="宋体" w:cs="宋体"/>
                <w:b/>
                <w:bCs/>
                <w:i w:val="0"/>
                <w:iCs w:val="0"/>
                <w:color w:val="000000"/>
                <w:kern w:val="0"/>
                <w:sz w:val="20"/>
                <w:szCs w:val="20"/>
                <w:highlight w:val="none"/>
                <w:u w:val="none"/>
                <w:lang w:val="en-US" w:eastAsia="zh-CN" w:bidi="ar"/>
              </w:rPr>
              <w:t>说明：1套包含床头柜1个和单人床1张。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1"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席梦思</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1.尺寸：1.2m*2m；</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2.厚度：≧20cm；</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3.材质：乳胶、椰棕、弹簧、海绵组成</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4.面料：防螨面料</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5.软硬度：正面软硬适中；反面偏硬。</w:t>
            </w:r>
          </w:p>
        </w:tc>
        <w:tc>
          <w:tcPr>
            <w:tcW w:w="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 </w:t>
            </w:r>
          </w:p>
        </w:tc>
        <w:tc>
          <w:tcPr>
            <w:tcW w:w="40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eastAsia="zh-CN"/>
              </w:rPr>
            </w:pPr>
            <w:r>
              <w:rPr>
                <w:rFonts w:hint="eastAsia" w:ascii="宋体" w:hAnsi="宋体" w:eastAsia="宋体" w:cs="宋体"/>
                <w:i w:val="0"/>
                <w:iCs w:val="0"/>
                <w:color w:val="000000"/>
                <w:sz w:val="22"/>
                <w:szCs w:val="22"/>
                <w:highlight w:val="none"/>
                <w:u w:val="none"/>
                <w:lang w:eastAsia="zh-CN"/>
              </w:rPr>
              <w:t>与采购的单人床配套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2"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5</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床上用品</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1.床垫</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（1）尺寸：1.2m*2m；厚度≧5cm</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（2）材质：全棉面料，棉花填充。</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（3）要求：采用精密绗缝；四角防滑带，有效固定床垫。</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2.被芯</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（1）尺寸：≧1.5m*2m</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（2）材质：面料为全棉或涤纶，可水洗，填充物为100%棉花。</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（3）重量：≧5斤</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（4）要求：采用定位绗缝；四角防滑带，有效固定床垫。拉链为尼龙拉链。</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3.枕芯</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（1）尺寸：48cm*74cm（±2）</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（2）材质：面料为全棉，填充物为聚酯纤维。</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（3）高度：8-12cm。</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4.床单、被套、枕套</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（1）面料材质：全棉材质，可水洗（不褪色）；尼龙拉链拉链。</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（2）尺寸要求：</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被套：尺寸：1.5m*2m（与被芯配套）</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床单：尺寸：1.6*2.3</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枕套：尺寸：48cm*74cm（与被芯配套）</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（3）颜色：多色可选。          </w:t>
            </w:r>
          </w:p>
        </w:tc>
        <w:tc>
          <w:tcPr>
            <w:tcW w:w="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40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3"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6</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办公桌（房间）</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1.尺寸：1200*600*750mm；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2.材质：E0级环保及优质环保三聚氰胺饰面板或优于该材质。                                                    3.结构：</w:t>
            </w:r>
            <w:r>
              <w:rPr>
                <w:rFonts w:hint="eastAsia" w:ascii="宋体" w:hAnsi="宋体" w:cs="宋体"/>
                <w:i w:val="0"/>
                <w:iCs w:val="0"/>
                <w:color w:val="000000"/>
                <w:kern w:val="0"/>
                <w:sz w:val="20"/>
                <w:szCs w:val="20"/>
                <w:highlight w:val="none"/>
                <w:u w:val="none"/>
                <w:lang w:val="en-US" w:eastAsia="zh-CN" w:bidi="ar"/>
              </w:rPr>
              <w:t>中间为键盘拖，左右配金属线孔盖；</w:t>
            </w:r>
            <w:bookmarkStart w:id="3" w:name="_GoBack"/>
            <w:bookmarkEnd w:id="3"/>
          </w:p>
        </w:tc>
        <w:tc>
          <w:tcPr>
            <w:tcW w:w="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0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800080"/>
                <w:sz w:val="22"/>
                <w:szCs w:val="22"/>
                <w:highlight w:val="none"/>
                <w:u w:val="single"/>
                <w:lang w:eastAsia="zh-CN"/>
              </w:rPr>
            </w:pPr>
            <w:r>
              <w:rPr>
                <w:rFonts w:hint="eastAsia" w:ascii="宋体" w:hAnsi="宋体" w:eastAsia="宋体" w:cs="宋体"/>
                <w:i w:val="0"/>
                <w:iCs w:val="0"/>
                <w:color w:val="800080"/>
                <w:sz w:val="22"/>
                <w:szCs w:val="22"/>
                <w:highlight w:val="none"/>
                <w:u w:val="single"/>
                <w:lang w:eastAsia="zh-CN"/>
              </w:rPr>
              <w:drawing>
                <wp:inline distT="0" distB="0" distL="114300" distR="114300">
                  <wp:extent cx="2400300" cy="2400300"/>
                  <wp:effectExtent l="0" t="0" r="0" b="0"/>
                  <wp:docPr id="4" name="图片 2" descr="tb_image_share_168593521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b_image_share_1685935211155"/>
                          <pic:cNvPicPr>
                            <a:picLocks noChangeAspect="1"/>
                          </pic:cNvPicPr>
                        </pic:nvPicPr>
                        <pic:blipFill>
                          <a:blip r:embed="rId5"/>
                          <a:stretch>
                            <a:fillRect/>
                          </a:stretch>
                        </pic:blipFill>
                        <pic:spPr>
                          <a:xfrm>
                            <a:off x="0" y="0"/>
                            <a:ext cx="2400300" cy="240030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6"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7</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办公椅</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1.样式及尺寸：见示意图，允许误差（±2mm）</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2.覆面：优质西皮覆面或优于该材质要求。</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3.多层板：座背衬板采用E1级优质环保弯曲木热压成型多层胶合板，厚度12mm；或优于该材质要求。</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4.结构：实木四脚椅架</w:t>
            </w:r>
          </w:p>
        </w:tc>
        <w:tc>
          <w:tcPr>
            <w:tcW w:w="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 </w:t>
            </w:r>
          </w:p>
        </w:tc>
        <w:tc>
          <w:tcPr>
            <w:tcW w:w="40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eastAsia="zh-CN"/>
              </w:rPr>
            </w:pPr>
            <w:r>
              <w:rPr>
                <w:rFonts w:hint="eastAsia" w:ascii="宋体" w:hAnsi="宋体" w:eastAsia="宋体" w:cs="宋体"/>
                <w:i w:val="0"/>
                <w:iCs w:val="0"/>
                <w:color w:val="000000"/>
                <w:sz w:val="22"/>
                <w:szCs w:val="22"/>
                <w:highlight w:val="none"/>
                <w:u w:val="none"/>
                <w:lang w:eastAsia="zh-CN"/>
              </w:rPr>
              <w:drawing>
                <wp:inline distT="0" distB="0" distL="114300" distR="114300">
                  <wp:extent cx="2357755" cy="2357755"/>
                  <wp:effectExtent l="0" t="0" r="4445" b="4445"/>
                  <wp:docPr id="3" name="图片 3" descr="1680243275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80243275349"/>
                          <pic:cNvPicPr>
                            <a:picLocks noChangeAspect="1"/>
                          </pic:cNvPicPr>
                        </pic:nvPicPr>
                        <pic:blipFill>
                          <a:blip r:embed="rId6"/>
                          <a:stretch>
                            <a:fillRect/>
                          </a:stretch>
                        </pic:blipFill>
                        <pic:spPr>
                          <a:xfrm>
                            <a:off x="0" y="0"/>
                            <a:ext cx="2357755" cy="235775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7"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8</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会议室桌</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1.尺寸：5000*1800*760mm；</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2.材质：优质环保三聚氰胺饰面刨花板，进口ABS激光封边；或优于该材质及要求</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3、结构款式：桌面部分采用橡木色、不含集线器、台面中心内嵌平面黑色包皮板、桌底二个独立承重加厚台脚支撑。具体参照图片，要求结实，安装后无缓动。</w:t>
            </w:r>
          </w:p>
        </w:tc>
        <w:tc>
          <w:tcPr>
            <w:tcW w:w="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 </w:t>
            </w:r>
          </w:p>
        </w:tc>
        <w:tc>
          <w:tcPr>
            <w:tcW w:w="40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eastAsia="zh-CN"/>
              </w:rPr>
            </w:pPr>
            <w:r>
              <w:rPr>
                <w:rFonts w:hint="eastAsia" w:ascii="宋体" w:hAnsi="宋体" w:eastAsia="宋体" w:cs="宋体"/>
                <w:i w:val="0"/>
                <w:iCs w:val="0"/>
                <w:color w:val="000000"/>
                <w:sz w:val="22"/>
                <w:szCs w:val="22"/>
                <w:highlight w:val="none"/>
                <w:u w:val="none"/>
                <w:lang w:eastAsia="zh-CN"/>
              </w:rPr>
              <w:drawing>
                <wp:inline distT="0" distB="0" distL="114300" distR="114300">
                  <wp:extent cx="2421890" cy="1896110"/>
                  <wp:effectExtent l="0" t="0" r="16510" b="8890"/>
                  <wp:docPr id="1" name="图片 4" descr="1680254568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1680254568375"/>
                          <pic:cNvPicPr>
                            <a:picLocks noChangeAspect="1"/>
                          </pic:cNvPicPr>
                        </pic:nvPicPr>
                        <pic:blipFill>
                          <a:blip r:embed="rId7"/>
                          <a:srcRect t="36034"/>
                          <a:stretch>
                            <a:fillRect/>
                          </a:stretch>
                        </pic:blipFill>
                        <pic:spPr>
                          <a:xfrm>
                            <a:off x="0" y="0"/>
                            <a:ext cx="2421890" cy="189611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6"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9</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会议椅</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1.样式及尺寸：见示意图</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2.覆面：优质西皮覆面或优于该材质要求。</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3.多层板：座背衬板采用E1级优质环保弯曲木热压成型多层胶合板，厚度12mm；或优于该材质要求。</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4.结构：实木四脚椅架</w:t>
            </w:r>
          </w:p>
        </w:tc>
        <w:tc>
          <w:tcPr>
            <w:tcW w:w="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把</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 </w:t>
            </w:r>
          </w:p>
        </w:tc>
        <w:tc>
          <w:tcPr>
            <w:tcW w:w="40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eastAsia="zh-CN"/>
              </w:rPr>
            </w:pPr>
            <w:r>
              <w:rPr>
                <w:rFonts w:hint="eastAsia" w:ascii="宋体" w:hAnsi="宋体" w:eastAsia="宋体" w:cs="宋体"/>
                <w:i w:val="0"/>
                <w:iCs w:val="0"/>
                <w:color w:val="000000"/>
                <w:sz w:val="22"/>
                <w:szCs w:val="22"/>
                <w:highlight w:val="none"/>
                <w:u w:val="none"/>
                <w:lang w:eastAsia="zh-CN"/>
              </w:rPr>
              <w:drawing>
                <wp:inline distT="0" distB="0" distL="114300" distR="114300">
                  <wp:extent cx="2416175" cy="2907030"/>
                  <wp:effectExtent l="0" t="0" r="3175" b="7620"/>
                  <wp:docPr id="6" name="图片 5"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未标题-1"/>
                          <pic:cNvPicPr>
                            <a:picLocks noChangeAspect="1"/>
                          </pic:cNvPicPr>
                        </pic:nvPicPr>
                        <pic:blipFill>
                          <a:blip r:embed="rId8"/>
                          <a:stretch>
                            <a:fillRect/>
                          </a:stretch>
                        </pic:blipFill>
                        <pic:spPr>
                          <a:xfrm>
                            <a:off x="0" y="0"/>
                            <a:ext cx="2416175" cy="290703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9"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文件柜</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尺寸：1800*850*390mm；铁皮厚度≧0.6mm</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材质：一级优质冷轧钢，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3.颜色：灰白色</w:t>
            </w:r>
          </w:p>
        </w:tc>
        <w:tc>
          <w:tcPr>
            <w:tcW w:w="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 </w:t>
            </w:r>
          </w:p>
        </w:tc>
        <w:tc>
          <w:tcPr>
            <w:tcW w:w="40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eastAsia="zh-CN"/>
              </w:rPr>
            </w:pPr>
            <w:r>
              <w:rPr>
                <w:rFonts w:hint="eastAsia" w:ascii="宋体" w:hAnsi="宋体" w:eastAsia="宋体" w:cs="宋体"/>
                <w:i w:val="0"/>
                <w:iCs w:val="0"/>
                <w:color w:val="000000"/>
                <w:sz w:val="22"/>
                <w:szCs w:val="22"/>
                <w:highlight w:val="none"/>
                <w:u w:val="none"/>
                <w:lang w:eastAsia="zh-CN"/>
              </w:rPr>
              <w:drawing>
                <wp:inline distT="0" distB="0" distL="114300" distR="114300">
                  <wp:extent cx="2059940" cy="1701165"/>
                  <wp:effectExtent l="0" t="0" r="16510" b="13335"/>
                  <wp:docPr id="2" name="图片 6" descr="Screenshot_20230331_172101_com.taobao.taob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Screenshot_20230331_172101_com.taobao.taobao"/>
                          <pic:cNvPicPr>
                            <a:picLocks noChangeAspect="1"/>
                          </pic:cNvPicPr>
                        </pic:nvPicPr>
                        <pic:blipFill>
                          <a:blip r:embed="rId9"/>
                          <a:srcRect l="7915" t="27147" r="7076" b="40941"/>
                          <a:stretch>
                            <a:fillRect/>
                          </a:stretch>
                        </pic:blipFill>
                        <pic:spPr>
                          <a:xfrm>
                            <a:off x="0" y="0"/>
                            <a:ext cx="2059940" cy="170116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窗 帘</w:t>
            </w:r>
          </w:p>
        </w:tc>
        <w:tc>
          <w:tcPr>
            <w:tcW w:w="3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
              </w:numPr>
              <w:suppressLineNumbers w:val="0"/>
              <w:jc w:val="left"/>
              <w:textAlignment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折皱比：1:2                     2.布料为常规厚度遮光布，花色中标后由业主确定。</w:t>
            </w:r>
          </w:p>
          <w:p>
            <w:pPr>
              <w:keepNext w:val="0"/>
              <w:keepLines w:val="0"/>
              <w:widowControl/>
              <w:numPr>
                <w:ilvl w:val="0"/>
                <w:numId w:val="0"/>
              </w:numPr>
              <w:suppressLineNumbers w:val="0"/>
              <w:ind w:leftChars="0"/>
              <w:jc w:val="left"/>
              <w:textAlignment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3.铝合金罗马杆及所有辅材）</w:t>
            </w:r>
          </w:p>
          <w:p>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4.负责安装</w:t>
            </w:r>
          </w:p>
        </w:tc>
        <w:tc>
          <w:tcPr>
            <w:tcW w:w="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0"/>
              </w:numPr>
              <w:suppressLineNumbers w:val="0"/>
              <w:jc w:val="left"/>
              <w:textAlignment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m</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0"/>
              </w:numPr>
              <w:suppressLineNumbers w:val="0"/>
              <w:jc w:val="left"/>
              <w:textAlignment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112</w:t>
            </w:r>
          </w:p>
        </w:tc>
        <w:tc>
          <w:tcPr>
            <w:tcW w:w="40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140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eastAsia="zh-CN"/>
              </w:rPr>
              <w:t>备注</w:t>
            </w:r>
          </w:p>
        </w:tc>
        <w:tc>
          <w:tcPr>
            <w:tcW w:w="82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highlight w:val="none"/>
                <w:lang w:val="en-US" w:eastAsia="zh-CN"/>
              </w:rPr>
            </w:pPr>
            <w:r>
              <w:rPr>
                <w:rFonts w:hint="eastAsia"/>
                <w:highlight w:val="none"/>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highlight w:val="none"/>
                <w:lang w:val="en-US" w:eastAsia="zh-CN"/>
              </w:rPr>
            </w:pPr>
            <w:r>
              <w:rPr>
                <w:rFonts w:hint="eastAsia"/>
                <w:highlight w:val="none"/>
                <w:lang w:val="en-US" w:eastAsia="zh-CN"/>
              </w:rPr>
              <w:t>2.供应商的响应文件必须标明所投货物的品牌与参数，保证正品供货，提供相关资料等。</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b/>
                <w:bCs/>
                <w:highlight w:val="none"/>
                <w:lang w:val="en-US" w:eastAsia="zh-CN"/>
              </w:rPr>
              <w:t>3.以上产品外饰面为烤漆或喷漆，不得采用贴纸面，否则视为不合格</w:t>
            </w:r>
            <w:r>
              <w:rPr>
                <w:rFonts w:hint="eastAsia" w:ascii="Times New Roman" w:hAnsi="Times New Roman" w:eastAsia="宋体" w:cs="Times New Roman"/>
                <w:highlight w:val="none"/>
                <w:lang w:val="en-US" w:eastAsia="zh-CN"/>
              </w:rPr>
              <w:t>。（不含席梦思、床上用品、窗帘）</w:t>
            </w:r>
          </w:p>
          <w:p>
            <w:pPr>
              <w:jc w:val="both"/>
              <w:rPr>
                <w:rFonts w:hint="eastAsia"/>
                <w:highlight w:val="none"/>
              </w:rPr>
            </w:pPr>
            <w:r>
              <w:rPr>
                <w:rFonts w:hint="eastAsia"/>
                <w:highlight w:val="none"/>
                <w:lang w:val="en-US" w:eastAsia="zh-CN"/>
              </w:rPr>
              <w:t>4.技术参数中的图片为示意图，并非进行限制，报价单位可根据询价文件中文字参数的描述提报相应的产品。</w:t>
            </w:r>
          </w:p>
        </w:tc>
      </w:tr>
    </w:tbl>
    <w:p>
      <w:pPr>
        <w:pStyle w:val="11"/>
        <w:widowControl w:val="0"/>
        <w:numPr>
          <w:ilvl w:val="0"/>
          <w:numId w:val="2"/>
        </w:numPr>
        <w:autoSpaceDE w:val="0"/>
        <w:autoSpaceDN w:val="0"/>
        <w:adjustRightInd w:val="0"/>
        <w:spacing w:line="500" w:lineRule="exact"/>
        <w:jc w:val="both"/>
        <w:rPr>
          <w:rFonts w:hint="eastAsia" w:ascii="Times New Roman" w:hAnsi="Times New Roman" w:eastAsia="黑体" w:cs="Times New Roman"/>
          <w:sz w:val="24"/>
          <w:szCs w:val="24"/>
          <w:lang w:val="zh-CN" w:eastAsia="zh-CN"/>
        </w:rPr>
      </w:pPr>
      <w:r>
        <w:rPr>
          <w:rFonts w:hint="eastAsia" w:ascii="Times New Roman" w:hAnsi="Times New Roman" w:eastAsia="黑体" w:cs="Times New Roman"/>
          <w:sz w:val="24"/>
          <w:szCs w:val="24"/>
          <w:lang w:val="zh-CN" w:eastAsia="zh-CN"/>
        </w:rPr>
        <w:t>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sz w:val="24"/>
          <w:szCs w:val="24"/>
          <w:lang w:val="en-US" w:eastAsia="zh-CN"/>
        </w:rPr>
        <w:t>供应商的报价应包括：人员费用、运输费用、安装及辅材费、管理费及税金等为完成磋商文件规定全部内容所需的一切应有费用。</w:t>
      </w:r>
    </w:p>
    <w:p>
      <w:pPr>
        <w:spacing w:line="400" w:lineRule="exact"/>
        <w:ind w:firstLine="482" w:firstLineChars="200"/>
        <w:rPr>
          <w:rFonts w:hint="eastAsia" w:ascii="仿宋" w:hAnsi="仿宋" w:eastAsia="仿宋" w:cs="仿宋"/>
          <w:b/>
          <w:bCs/>
          <w:snapToGrid w:val="0"/>
          <w:lang w:val="zh-CN"/>
        </w:rPr>
      </w:pPr>
      <w:r>
        <w:rPr>
          <w:rFonts w:hint="eastAsia" w:ascii="仿宋" w:hAnsi="仿宋" w:eastAsia="仿宋" w:cs="仿宋"/>
          <w:b/>
          <w:bCs/>
          <w:snapToGrid w:val="0"/>
          <w:lang w:val="zh-CN"/>
        </w:rPr>
        <w:t>（二）拟成交人在供货前按询价文件规定，提供一套样品，供采购人现场核查。若样品无法满足询价文件要求，责令</w:t>
      </w:r>
      <w:r>
        <w:rPr>
          <w:rFonts w:hint="eastAsia" w:ascii="仿宋" w:hAnsi="仿宋" w:eastAsia="仿宋" w:cs="仿宋"/>
          <w:b/>
          <w:bCs/>
          <w:snapToGrid w:val="0"/>
          <w:lang w:val="en-US" w:eastAsia="zh-CN"/>
        </w:rPr>
        <w:t>10个日历天内整改、复查。若复查时仍发现全部或部分样品参数不满足询价文件要求，则视为不响应询价文件，取消成交资格。采购人将按询价小组提供的候选人名单、依次替补或重新组织采购。</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（三）交货地点：安庆市境内</w:t>
      </w:r>
    </w:p>
    <w:p>
      <w:p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（四）售后服务</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1.</w:t>
      </w:r>
      <w:r>
        <w:rPr>
          <w:rFonts w:hint="eastAsia" w:ascii="仿宋" w:hAnsi="仿宋" w:eastAsia="仿宋" w:cs="仿宋"/>
          <w:b/>
          <w:bCs/>
        </w:rPr>
        <w:t>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2.供货要求：</w:t>
      </w:r>
      <w:r>
        <w:rPr>
          <w:rFonts w:hint="eastAsia" w:ascii="仿宋" w:hAnsi="仿宋" w:eastAsia="仿宋" w:cs="仿宋"/>
          <w:snapToGrid w:val="0"/>
          <w:lang w:val="en-US" w:eastAsia="zh-CN"/>
        </w:rPr>
        <w:t>供应商成交以后，采购人向供应商发出供货通知书时，</w:t>
      </w:r>
      <w:r>
        <w:rPr>
          <w:rFonts w:hint="eastAsia" w:ascii="仿宋" w:hAnsi="仿宋" w:eastAsia="仿宋" w:cs="仿宋"/>
          <w:snapToGrid w:val="0"/>
          <w:color w:val="auto"/>
          <w:lang w:val="en-US" w:eastAsia="zh-CN"/>
        </w:rPr>
        <w:t>成交供应商应在</w:t>
      </w:r>
      <w:r>
        <w:rPr>
          <w:rFonts w:hint="eastAsia" w:ascii="仿宋" w:hAnsi="仿宋" w:eastAsia="仿宋" w:cs="仿宋"/>
          <w:snapToGrid w:val="0"/>
          <w:color w:val="auto"/>
          <w:highlight w:val="none"/>
          <w:lang w:val="en-US" w:eastAsia="zh-CN"/>
        </w:rPr>
        <w:t>15</w:t>
      </w:r>
      <w:r>
        <w:rPr>
          <w:rFonts w:hint="eastAsia" w:ascii="仿宋" w:hAnsi="仿宋" w:eastAsia="仿宋" w:cs="仿宋"/>
          <w:snapToGrid w:val="0"/>
          <w:lang w:val="en-US" w:eastAsia="zh-CN"/>
        </w:rPr>
        <w:t>个日历天内完成供货，否则，采购人有权解除合同，由此造成的全部损失，由成交供应商全部承担。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lang w:val="en-US" w:eastAsia="zh-CN"/>
        </w:rPr>
        <w:t>3</w:t>
      </w:r>
      <w:r>
        <w:rPr>
          <w:rFonts w:hint="eastAsia" w:ascii="仿宋" w:hAnsi="仿宋" w:eastAsia="仿宋" w:cs="仿宋"/>
          <w:snapToGrid w:val="0"/>
        </w:rPr>
        <w:t>.</w:t>
      </w:r>
      <w:r>
        <w:rPr>
          <w:rFonts w:hint="eastAsia" w:ascii="仿宋" w:hAnsi="仿宋" w:eastAsia="仿宋" w:cs="仿宋"/>
          <w:snapToGrid w:val="0"/>
          <w:lang w:val="zh-CN"/>
        </w:rPr>
        <w:t>报价方对提供的货物在质保期内，因产品质量而导致的缺陷，必须免费提供包换、包退服务。</w:t>
      </w:r>
    </w:p>
    <w:p>
      <w:pPr>
        <w:spacing w:line="400" w:lineRule="exact"/>
        <w:ind w:firstLine="482" w:firstLineChars="200"/>
        <w:rPr>
          <w:rFonts w:hint="eastAsia" w:ascii="仿宋" w:hAnsi="仿宋" w:eastAsia="仿宋" w:cs="仿宋"/>
          <w:snapToGrid w:val="0"/>
          <w:lang w:val="zh-CN"/>
        </w:rPr>
      </w:pPr>
      <w:r>
        <w:rPr>
          <w:rFonts w:hint="eastAsia" w:ascii="仿宋" w:hAnsi="仿宋" w:eastAsia="仿宋" w:cs="仿宋"/>
          <w:b/>
          <w:bCs/>
          <w:snapToGrid w:val="0"/>
          <w:lang w:val="en-US" w:eastAsia="zh-CN"/>
        </w:rPr>
        <w:t>4.付款及结算方式：</w:t>
      </w:r>
      <w:r>
        <w:rPr>
          <w:rFonts w:hint="eastAsia" w:ascii="仿宋" w:hAnsi="仿宋" w:eastAsia="仿宋" w:cs="仿宋"/>
        </w:rPr>
        <w:t>验收合格后</w:t>
      </w:r>
      <w:r>
        <w:rPr>
          <w:rFonts w:hint="eastAsia" w:ascii="仿宋" w:hAnsi="仿宋" w:eastAsia="仿宋" w:cs="仿宋"/>
          <w:snapToGrid w:val="0"/>
          <w:lang w:val="zh-CN"/>
        </w:rPr>
        <w:t>，成交供应商按采购人要求凭国家正式发票及相关证明文件向采购人申请付款，采购人收到申请后在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五</w:t>
      </w:r>
      <w:r>
        <w:rPr>
          <w:rFonts w:hint="eastAsia" w:ascii="仿宋" w:hAnsi="仿宋" w:eastAsia="仿宋" w:cs="仿宋"/>
          <w:b/>
          <w:bCs/>
        </w:rPr>
        <w:t>）验收方法及标准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bookmarkEnd w:id="2"/>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E7A7B"/>
    <w:multiLevelType w:val="singleLevel"/>
    <w:tmpl w:val="A53E7A7B"/>
    <w:lvl w:ilvl="0" w:tentative="0">
      <w:start w:val="2"/>
      <w:numFmt w:val="chineseCounting"/>
      <w:suff w:val="space"/>
      <w:lvlText w:val="第%1部分"/>
      <w:lvlJc w:val="left"/>
      <w:rPr>
        <w:rFonts w:hint="eastAsia" w:ascii="方正小标宋_GBK" w:hAnsi="方正小标宋_GBK" w:eastAsia="方正小标宋_GBK" w:cs="方正小标宋_GBK"/>
        <w:sz w:val="32"/>
        <w:szCs w:val="32"/>
      </w:rPr>
    </w:lvl>
  </w:abstractNum>
  <w:abstractNum w:abstractNumId="1">
    <w:nsid w:val="DB106280"/>
    <w:multiLevelType w:val="singleLevel"/>
    <w:tmpl w:val="DB106280"/>
    <w:lvl w:ilvl="0" w:tentative="0">
      <w:start w:val="1"/>
      <w:numFmt w:val="decimal"/>
      <w:lvlText w:val="%1."/>
      <w:lvlJc w:val="left"/>
      <w:pPr>
        <w:tabs>
          <w:tab w:val="left" w:pos="312"/>
        </w:tabs>
      </w:pPr>
    </w:lvl>
  </w:abstractNum>
  <w:abstractNum w:abstractNumId="2">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abstractNum w:abstractNumId="3">
    <w:nsid w:val="7764851E"/>
    <w:multiLevelType w:val="singleLevel"/>
    <w:tmpl w:val="7764851E"/>
    <w:lvl w:ilvl="0" w:tentative="0">
      <w:start w:val="1"/>
      <w:numFmt w:val="decimal"/>
      <w:lvlText w:val="%1."/>
      <w:lvlJc w:val="left"/>
      <w:pPr>
        <w:tabs>
          <w:tab w:val="left" w:pos="312"/>
        </w:tabs>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5MzIxMjU4MjUwZWE0MTI1N2RmNTQ4Y2EzMDUifQ=="/>
  </w:docVars>
  <w:rsids>
    <w:rsidRoot w:val="1A145F6F"/>
    <w:rsid w:val="1A145F6F"/>
    <w:rsid w:val="42CD0980"/>
    <w:rsid w:val="74225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First Indent"/>
    <w:basedOn w:val="6"/>
    <w:qFormat/>
    <w:uiPriority w:val="0"/>
    <w:pPr>
      <w:spacing w:line="360" w:lineRule="auto"/>
      <w:ind w:firstLine="241" w:firstLineChars="100"/>
      <w:jc w:val="center"/>
    </w:pPr>
    <w:rPr>
      <w:b/>
      <w:bCs/>
      <w:color w:val="000000"/>
      <w:kern w:val="0"/>
    </w:rPr>
  </w:style>
  <w:style w:type="paragraph" w:styleId="6">
    <w:name w:val="Body Text"/>
    <w:basedOn w:val="1"/>
    <w:next w:val="7"/>
    <w:qFormat/>
    <w:uiPriority w:val="0"/>
    <w:rPr>
      <w:sz w:val="21"/>
    </w:rPr>
  </w:style>
  <w:style w:type="paragraph" w:styleId="7">
    <w:name w:val="Date"/>
    <w:basedOn w:val="1"/>
    <w:next w:val="1"/>
    <w:qFormat/>
    <w:uiPriority w:val="0"/>
    <w:rPr>
      <w:b/>
      <w:sz w:val="28"/>
    </w:rPr>
  </w:style>
  <w:style w:type="paragraph" w:styleId="8">
    <w:name w:val="Plain Text"/>
    <w:basedOn w:val="1"/>
    <w:qFormat/>
    <w:uiPriority w:val="0"/>
    <w:rPr>
      <w:rFonts w:ascii="宋体" w:hAnsi="Courier New" w:cs="Courier New"/>
      <w:kern w:val="2"/>
      <w:szCs w:val="21"/>
    </w:rPr>
  </w:style>
  <w:style w:type="paragraph" w:customStyle="1" w:styleId="11">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2000</Words>
  <Characters>2228</Characters>
  <Lines>0</Lines>
  <Paragraphs>0</Paragraphs>
  <TotalTime>0</TotalTime>
  <ScaleCrop>false</ScaleCrop>
  <LinksUpToDate>false</LinksUpToDate>
  <CharactersWithSpaces>2514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2023-06-12T02:40:00Z</dcterms:created>
  <dc:creator>花开无叶，叶生无花</dc:creator>
  <cp:lastModifiedBy>花开无叶，叶生无花</cp:lastModifiedBy>
  <dcterms:modified xsi:type="dcterms:W3CDTF">2023-06-12T07:54:49Z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9338541465EF46FDAF65D45FC2A7D51F_11</vt:lpwstr>
  </property>
</Properties>
</file>