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before="240" w:beforeLines="100"/>
        <w:jc w:val="center"/>
        <w:outlineLvl w:val="0"/>
        <w:rPr>
          <w:rFonts w:hint="eastAsia" w:ascii="方正小标宋_GBK" w:hAnsi="方正小标宋_GBK" w:eastAsia="方正小标宋_GBK" w:cs="方正小标宋_GBK"/>
          <w:sz w:val="32"/>
          <w:szCs w:val="32"/>
          <w:lang w:val="zh-CN"/>
        </w:rPr>
      </w:pPr>
      <w:bookmarkStart w:id="3" w:name="_GoBack"/>
      <w:bookmarkEnd w:id="3"/>
      <w:bookmarkStart w:id="0" w:name="_Toc27097"/>
      <w:r>
        <w:rPr>
          <w:rFonts w:hint="eastAsia" w:ascii="方正小标宋_GBK" w:hAnsi="方正小标宋_GBK" w:eastAsia="方正小标宋_GBK" w:cs="方正小标宋_GBK"/>
          <w:sz w:val="32"/>
          <w:szCs w:val="32"/>
          <w:lang w:val="zh-CN"/>
        </w:rPr>
        <w:t>采购项目技术和商务要求</w:t>
      </w:r>
      <w:bookmarkEnd w:id="0"/>
    </w:p>
    <w:p>
      <w:pPr>
        <w:pStyle w:val="5"/>
        <w:rPr>
          <w:rFonts w:hint="eastAsia"/>
          <w:lang w:val="zh-CN"/>
        </w:rPr>
      </w:pPr>
    </w:p>
    <w:p>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1" w:name="_Toc24273"/>
    </w:p>
    <w:p>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1"/>
    <w:p>
      <w:pPr>
        <w:pStyle w:val="11"/>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2"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9"/>
        <w:tblpPr w:leftFromText="180" w:rightFromText="180" w:vertAnchor="text" w:horzAnchor="page" w:tblpX="1527" w:tblpY="235"/>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3"/>
        <w:gridCol w:w="1125"/>
        <w:gridCol w:w="6075"/>
        <w:gridCol w:w="713"/>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6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技术要求</w:t>
            </w:r>
          </w:p>
        </w:tc>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热释光</w:t>
            </w:r>
          </w:p>
          <w:p>
            <w:pPr>
              <w:spacing w:line="400" w:lineRule="exact"/>
              <w:jc w:val="center"/>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剂量仪</w:t>
            </w:r>
          </w:p>
        </w:tc>
        <w:tc>
          <w:tcPr>
            <w:tcW w:w="6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量程：0.01μGy～10Gy </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升温速率：1～40℃/s </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加热时间：0～400s</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加热方式：适于 LiF（Mg,Cu,P）片</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最高加热温度：400℃</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工作温度：0～45℃</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相对湿度：≤95% </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制冷技术：探头单元采用半导体制冷模式，恒温约 13℃</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输出与显示：LED 显示剂量编号、测量值、发光曲线和设置测量参数；数字指示加热温度；LED 发光条指示计数频率.</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★自动扣除预设本底，操作简便。可测量多种类型热释光探测器，如圆片、方片、玻璃管及粉末等。</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★配套软件：TLPS 工作于 Windows 系统下，全中文界面。主要包括数据入口、个人剂量管理系统和发光曲线分析三大模块，功能丰富，用户界面友好，带有在线帮助，使用方便。它能大大提高测量数据处理的效率，便于用户对测量过程的了解和深入分析，从而使测量系统的综合性能得到进一步提高。</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▲配套软件能与卫生部系统软件对接：配套的 TLPS5.0 软件自带最新版国家疾控中心的个人剂量检测评价报告模板和数据处理模式（包括对铅衣内外、眼睛晶体等监测数据的处理模式）。并能自动出具四种检测评价报告（周期检测报告，大剂量报告，年度报告，统计报告）。以上功能需提供软件截图；</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default"/>
                <w:b w:val="0"/>
                <w:bCs w:val="0"/>
                <w:sz w:val="24"/>
                <w:szCs w:val="24"/>
                <w:lang w:val="en-US" w:eastAsia="zh-CN"/>
              </w:rPr>
            </w:pPr>
            <w:r>
              <w:rPr>
                <w:rFonts w:hint="eastAsia" w:ascii="仿宋" w:hAnsi="仿宋" w:eastAsia="仿宋" w:cs="仿宋"/>
                <w:b w:val="0"/>
                <w:bCs w:val="0"/>
                <w:sz w:val="24"/>
                <w:szCs w:val="24"/>
                <w:lang w:val="en-US" w:eastAsia="zh-CN"/>
              </w:rPr>
              <w:t>▲厂家提供参与全国个人剂量监测系统比对考核优秀等次的证书。</w:t>
            </w:r>
          </w:p>
        </w:tc>
        <w:tc>
          <w:tcPr>
            <w:tcW w:w="71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752"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退火炉</w:t>
            </w:r>
          </w:p>
        </w:tc>
        <w:tc>
          <w:tcPr>
            <w:tcW w:w="6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温度范围：0～400℃连续可设</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显示精度：0.3级</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加热器件：远红外加热管</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升温时间：室温至设定值约1小时</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温度过冲：最大不超过设定值2℃</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退火时间：100分钟任设，带报警</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TLD冷却：风冷和铜质散热板</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工作环境：0～45℃10～90％Rh</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bCs/>
                <w:snapToGrid w:val="0"/>
                <w:lang w:val="en-US" w:eastAsia="zh-CN"/>
              </w:rPr>
            </w:pPr>
            <w:r>
              <w:rPr>
                <w:rFonts w:hint="eastAsia" w:ascii="仿宋" w:hAnsi="仿宋" w:eastAsia="仿宋" w:cs="仿宋"/>
                <w:b w:val="0"/>
                <w:bCs w:val="0"/>
                <w:sz w:val="24"/>
                <w:szCs w:val="24"/>
                <w:lang w:val="en-US" w:eastAsia="zh-CN"/>
              </w:rPr>
              <w:t>冷却功能：同时具备退火和冷却功能，一机双用</w:t>
            </w:r>
          </w:p>
        </w:tc>
        <w:tc>
          <w:tcPr>
            <w:tcW w:w="71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台</w:t>
            </w:r>
          </w:p>
        </w:tc>
        <w:tc>
          <w:tcPr>
            <w:tcW w:w="752"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铅室</w:t>
            </w:r>
          </w:p>
        </w:tc>
        <w:tc>
          <w:tcPr>
            <w:tcW w:w="6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内直径：φ160*107mm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铅当量：10mm</w:t>
            </w:r>
          </w:p>
        </w:tc>
        <w:tc>
          <w:tcPr>
            <w:tcW w:w="71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个</w:t>
            </w:r>
          </w:p>
        </w:tc>
        <w:tc>
          <w:tcPr>
            <w:tcW w:w="752"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热释光剂量计</w:t>
            </w:r>
          </w:p>
        </w:tc>
        <w:tc>
          <w:tcPr>
            <w:tcW w:w="6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每个剂量计含两个热释光片</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探测对象：X-γ射线</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成分：LiF（Mg,Cu,P）</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形状：圆片</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规格：φ4.5×0.80mm</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能量响应（30KeV～3MeV的光子）：＜20%</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▲非线性（分散性）：＜3%</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线性范围：100nGy～12Gy</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探测阈：0.1μGy</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可放置圆片、方片、粉末管等各种形状探测器</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可防止意外的污染</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结构牢固，易于拆卸，容易佩戴，不易损坏</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形状：圆片（另有方片、粉末可选）</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0" w:firstLineChars="0"/>
              <w:jc w:val="both"/>
              <w:textAlignment w:val="auto"/>
              <w:outlineLvl w:val="1"/>
              <w:rPr>
                <w:rFonts w:hint="eastAsia" w:ascii="仿宋" w:hAnsi="仿宋" w:eastAsia="仿宋" w:cs="仿宋"/>
                <w:snapToGrid w:val="0"/>
                <w:lang w:val="en-US" w:eastAsia="zh-CN"/>
              </w:rPr>
            </w:pPr>
            <w:r>
              <w:rPr>
                <w:rFonts w:hint="eastAsia" w:ascii="仿宋" w:hAnsi="仿宋" w:eastAsia="仿宋" w:cs="仿宋"/>
                <w:b w:val="0"/>
                <w:bCs w:val="0"/>
                <w:sz w:val="24"/>
                <w:szCs w:val="24"/>
                <w:lang w:val="en-US" w:eastAsia="zh-CN"/>
              </w:rPr>
              <w:t>规格：适用于Φ4.5X0.80mm</w:t>
            </w:r>
          </w:p>
        </w:tc>
        <w:tc>
          <w:tcPr>
            <w:tcW w:w="71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p>
        </w:tc>
        <w:tc>
          <w:tcPr>
            <w:tcW w:w="752"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打印机扫描枪</w:t>
            </w:r>
          </w:p>
        </w:tc>
        <w:tc>
          <w:tcPr>
            <w:tcW w:w="6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p>
        </w:tc>
        <w:tc>
          <w:tcPr>
            <w:tcW w:w="752"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4" w:hRule="atLeast"/>
        </w:trPr>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highlight w:val="none"/>
                <w:lang w:val="en-US" w:eastAsia="zh-CN"/>
              </w:rPr>
            </w:pPr>
            <w:r>
              <w:rPr>
                <w:rFonts w:hint="eastAsia" w:ascii="仿宋" w:hAnsi="仿宋" w:eastAsia="仿宋" w:cs="仿宋"/>
                <w:snapToGrid w:val="0"/>
                <w:highlight w:val="none"/>
                <w:lang w:val="en-US" w:eastAsia="zh-CN"/>
              </w:rPr>
              <w:t>说明</w:t>
            </w:r>
          </w:p>
        </w:tc>
        <w:tc>
          <w:tcPr>
            <w:tcW w:w="866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highlight w:val="none"/>
                <w:lang w:val="en-US" w:eastAsia="zh-CN"/>
              </w:rPr>
            </w:pPr>
            <w:r>
              <w:rPr>
                <w:rFonts w:hint="eastAsia" w:ascii="仿宋" w:hAnsi="仿宋" w:eastAsia="仿宋" w:cs="Times New Roman"/>
                <w:sz w:val="22"/>
                <w:szCs w:val="22"/>
                <w:highlight w:val="none"/>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highlight w:val="none"/>
                <w:lang w:val="en-US" w:eastAsia="zh-CN"/>
              </w:rPr>
            </w:pPr>
            <w:r>
              <w:rPr>
                <w:rFonts w:hint="eastAsia" w:ascii="仿宋" w:hAnsi="仿宋" w:eastAsia="仿宋" w:cs="Times New Roman"/>
                <w:sz w:val="22"/>
                <w:szCs w:val="22"/>
                <w:highlight w:val="none"/>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b/>
                <w:bCs/>
                <w:sz w:val="22"/>
                <w:szCs w:val="22"/>
                <w:highlight w:val="none"/>
                <w:lang w:val="en-US" w:eastAsia="zh-CN"/>
              </w:rPr>
            </w:pPr>
            <w:r>
              <w:rPr>
                <w:rFonts w:hint="eastAsia" w:ascii="仿宋" w:hAnsi="仿宋" w:eastAsia="仿宋" w:cs="Times New Roman"/>
                <w:b/>
                <w:bCs/>
                <w:sz w:val="22"/>
                <w:szCs w:val="22"/>
                <w:highlight w:val="none"/>
                <w:lang w:val="en-US" w:eastAsia="zh-CN"/>
              </w:rPr>
              <w:t>3.除参数要求外还需提供技术证明文件之一（医疗器械注册证、医疗器械注册登记表、第三方检测报告、产品技术白皮书、产品使用说明书、产品彩页及实物图片）予以证明所提供的产品符合以上技术要求。</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napToGrid w:val="0"/>
                <w:highlight w:val="none"/>
                <w:lang w:val="en-US" w:eastAsia="zh-CN"/>
              </w:rPr>
            </w:pPr>
            <w:r>
              <w:rPr>
                <w:rFonts w:hint="eastAsia" w:ascii="仿宋" w:hAnsi="仿宋" w:eastAsia="仿宋" w:cs="Times New Roman"/>
                <w:sz w:val="22"/>
                <w:szCs w:val="22"/>
                <w:highlight w:val="none"/>
                <w:lang w:val="en-US" w:eastAsia="zh-CN"/>
              </w:rPr>
              <w:t>5.本项目所需要各类证明材料，成交人需在10个日历天内提供原件（须加盖公章），若成交人未在招标文件要求的期限内提供证明材料或成交人提供的证明材料不能完全符合询价文件要求，则视为虚假响应；</w:t>
            </w:r>
          </w:p>
        </w:tc>
      </w:tr>
      <w:bookmarkEnd w:id="2"/>
    </w:tbl>
    <w:p>
      <w:pPr>
        <w:pStyle w:val="11"/>
        <w:widowControl w:val="0"/>
        <w:numPr>
          <w:ilvl w:val="0"/>
          <w:numId w:val="2"/>
        </w:numPr>
        <w:autoSpaceDE w:val="0"/>
        <w:autoSpaceDN w:val="0"/>
        <w:adjustRightInd w:val="0"/>
        <w:spacing w:line="500" w:lineRule="exact"/>
        <w:jc w:val="both"/>
        <w:rPr>
          <w:rFonts w:hint="eastAsia" w:ascii="Times New Roman" w:hAnsi="Times New Roman" w:eastAsia="黑体" w:cs="Times New Roman"/>
          <w:sz w:val="24"/>
          <w:szCs w:val="24"/>
          <w:highlight w:val="none"/>
          <w:lang w:val="zh-CN" w:eastAsia="zh-CN"/>
        </w:rPr>
      </w:pPr>
      <w:r>
        <w:rPr>
          <w:rFonts w:hint="eastAsia" w:ascii="Times New Roman" w:hAnsi="Times New Roman" w:eastAsia="黑体" w:cs="Times New Roman"/>
          <w:sz w:val="24"/>
          <w:szCs w:val="24"/>
          <w:highlight w:val="none"/>
          <w:lang w:val="zh-CN" w:eastAsia="zh-CN"/>
        </w:rPr>
        <w:t>商务要求</w:t>
      </w:r>
      <w:r>
        <w:rPr>
          <w:rFonts w:hint="eastAsia" w:ascii="Times New Roman" w:hAnsi="Times New Roman" w:eastAsia="黑体" w:cs="Times New Roman"/>
          <w:sz w:val="24"/>
          <w:szCs w:val="24"/>
          <w:highlight w:val="none"/>
          <w:lang w:val="en-US" w:eastAsia="zh-CN"/>
        </w:rPr>
        <w:t xml:space="preserve">               </w:t>
      </w:r>
    </w:p>
    <w:p>
      <w:pPr>
        <w:spacing w:line="40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（一）报价要求：</w:t>
      </w:r>
      <w:r>
        <w:rPr>
          <w:rFonts w:hint="eastAsia" w:ascii="仿宋" w:hAnsi="仿宋" w:eastAsia="仿宋" w:cs="仿宋"/>
          <w:highlight w:val="none"/>
        </w:rPr>
        <w:t>供应商的报价应包括：人员费用、运输费用、</w:t>
      </w:r>
      <w:r>
        <w:rPr>
          <w:rFonts w:hint="eastAsia" w:ascii="仿宋" w:hAnsi="仿宋" w:eastAsia="仿宋" w:cs="仿宋"/>
          <w:highlight w:val="none"/>
          <w:lang w:eastAsia="zh-CN"/>
        </w:rPr>
        <w:t>产品费、</w:t>
      </w:r>
      <w:r>
        <w:rPr>
          <w:rFonts w:hint="eastAsia" w:ascii="仿宋" w:hAnsi="仿宋" w:eastAsia="仿宋" w:cs="仿宋"/>
          <w:highlight w:val="none"/>
        </w:rPr>
        <w:t>管理费及税金等为完成</w:t>
      </w:r>
      <w:r>
        <w:rPr>
          <w:rFonts w:hint="eastAsia" w:ascii="仿宋" w:hAnsi="仿宋" w:eastAsia="仿宋" w:cs="仿宋"/>
          <w:highlight w:val="none"/>
          <w:lang w:eastAsia="zh-CN"/>
        </w:rPr>
        <w:t>询价</w:t>
      </w:r>
      <w:r>
        <w:rPr>
          <w:rFonts w:hint="eastAsia" w:ascii="仿宋" w:hAnsi="仿宋" w:eastAsia="仿宋" w:cs="仿宋"/>
          <w:highlight w:val="none"/>
        </w:rPr>
        <w:t>文件规定全部内容所需的一切应有费用。</w:t>
      </w:r>
    </w:p>
    <w:p>
      <w:pPr>
        <w:spacing w:line="400" w:lineRule="exact"/>
        <w:ind w:firstLine="482" w:firstLineChars="200"/>
        <w:rPr>
          <w:rFonts w:hint="eastAsia" w:ascii="仿宋" w:hAnsi="仿宋" w:eastAsia="仿宋" w:cs="仿宋"/>
          <w:snapToGrid w:val="0"/>
          <w:highlight w:val="none"/>
          <w:lang w:val="zh-CN" w:eastAsia="zh-CN"/>
        </w:rPr>
      </w:pPr>
      <w:r>
        <w:rPr>
          <w:rFonts w:hint="eastAsia" w:ascii="仿宋" w:hAnsi="仿宋" w:eastAsia="仿宋" w:cs="仿宋"/>
          <w:b/>
          <w:bCs/>
          <w:snapToGrid w:val="0"/>
          <w:highlight w:val="none"/>
          <w:lang w:eastAsia="zh-CN"/>
        </w:rPr>
        <w:t>（二）交货地点：安庆市境内</w:t>
      </w:r>
    </w:p>
    <w:p>
      <w:pPr>
        <w:spacing w:line="40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rPr>
        <w:t>（</w:t>
      </w:r>
      <w:r>
        <w:rPr>
          <w:rFonts w:hint="eastAsia" w:ascii="仿宋" w:hAnsi="仿宋" w:eastAsia="仿宋" w:cs="仿宋"/>
          <w:b/>
          <w:bCs/>
          <w:snapToGrid w:val="0"/>
          <w:highlight w:val="none"/>
          <w:lang w:eastAsia="zh-CN"/>
        </w:rPr>
        <w:t>三）人员培训要求（如有）</w:t>
      </w:r>
    </w:p>
    <w:p>
      <w:pPr>
        <w:spacing w:line="400" w:lineRule="exact"/>
        <w:ind w:firstLine="480" w:firstLineChars="200"/>
        <w:rPr>
          <w:rFonts w:hint="eastAsia" w:ascii="仿宋" w:hAnsi="仿宋" w:eastAsia="仿宋" w:cs="仿宋"/>
          <w:highlight w:val="none"/>
        </w:rPr>
      </w:pPr>
      <w:r>
        <w:rPr>
          <w:rFonts w:hint="eastAsia" w:ascii="仿宋" w:hAnsi="仿宋" w:eastAsia="仿宋" w:cs="仿宋"/>
          <w:highlight w:val="none"/>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highlight w:val="none"/>
          <w:lang w:eastAsia="zh-CN"/>
        </w:rPr>
      </w:pPr>
      <w:r>
        <w:rPr>
          <w:rFonts w:hint="eastAsia" w:ascii="仿宋" w:hAnsi="仿宋" w:eastAsia="仿宋" w:cs="仿宋"/>
          <w:b/>
          <w:bCs/>
          <w:snapToGrid w:val="0"/>
          <w:highlight w:val="none"/>
          <w:lang w:eastAsia="zh-CN"/>
        </w:rPr>
        <w:t>（三）售后服务</w:t>
      </w:r>
    </w:p>
    <w:p>
      <w:pPr>
        <w:spacing w:line="400" w:lineRule="exact"/>
        <w:ind w:firstLine="482" w:firstLineChars="200"/>
        <w:rPr>
          <w:rFonts w:hint="eastAsia" w:ascii="仿宋" w:hAnsi="仿宋" w:eastAsia="仿宋" w:cs="仿宋"/>
          <w:highlight w:val="none"/>
          <w:lang w:eastAsia="zh-CN"/>
        </w:rPr>
      </w:pPr>
      <w:r>
        <w:rPr>
          <w:rFonts w:hint="eastAsia" w:ascii="仿宋" w:hAnsi="仿宋" w:eastAsia="仿宋" w:cs="仿宋"/>
          <w:b/>
          <w:bCs/>
          <w:highlight w:val="none"/>
          <w:lang w:val="en-US" w:eastAsia="zh-CN"/>
        </w:rPr>
        <w:t>1.</w:t>
      </w:r>
      <w:r>
        <w:rPr>
          <w:rFonts w:hint="eastAsia" w:ascii="仿宋" w:hAnsi="仿宋" w:eastAsia="仿宋" w:cs="仿宋"/>
          <w:b/>
          <w:bCs/>
          <w:highlight w:val="none"/>
        </w:rPr>
        <w:t>保修及售后服务：</w:t>
      </w:r>
      <w:r>
        <w:rPr>
          <w:rFonts w:hint="eastAsia" w:ascii="仿宋" w:hAnsi="仿宋" w:eastAsia="仿宋" w:cs="仿宋"/>
          <w:highlight w:val="none"/>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highlight w:val="none"/>
          <w:lang w:val="en-US" w:eastAsia="zh-CN"/>
        </w:rPr>
        <w:t>2.供货要求：</w:t>
      </w:r>
      <w:r>
        <w:rPr>
          <w:rFonts w:hint="eastAsia" w:ascii="仿宋" w:hAnsi="仿宋" w:eastAsia="仿宋" w:cs="仿宋"/>
          <w:snapToGrid w:val="0"/>
          <w:highlight w:val="none"/>
          <w:lang w:val="en-US" w:eastAsia="zh-CN"/>
        </w:rPr>
        <w:t>供应商成交以后，采购人按批次向供应商发出供货通知书时，成交供应商应在15个日历天内完成供货，否则，采购人有权解除合同，由此造成的全部损失，由成交供应商全部承担。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snapToGrid w:val="0"/>
          <w:lang w:val="en-US" w:eastAsia="zh-CN"/>
        </w:rPr>
        <w:t>每批次</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四</w:t>
      </w:r>
      <w:r>
        <w:rPr>
          <w:rFonts w:hint="eastAsia" w:ascii="仿宋" w:hAnsi="仿宋" w:eastAsia="仿宋" w:cs="仿宋"/>
          <w:b/>
          <w:bCs/>
        </w:rPr>
        <w:t>）验收方法及标准</w:t>
      </w:r>
    </w:p>
    <w:p>
      <w:pPr>
        <w:spacing w:line="400" w:lineRule="exact"/>
        <w:ind w:firstLine="482" w:firstLineChars="200"/>
        <w:rPr>
          <w:rFonts w:hint="eastAsia" w:ascii="仿宋" w:hAnsi="仿宋" w:eastAsia="仿宋" w:cs="仿宋"/>
          <w:b/>
          <w:bCs/>
          <w:lang w:val="en-US" w:eastAsia="zh-CN"/>
        </w:rPr>
      </w:pPr>
      <w:r>
        <w:rPr>
          <w:rFonts w:hint="eastAsia" w:ascii="仿宋" w:hAnsi="仿宋" w:eastAsia="仿宋" w:cs="仿宋"/>
          <w:b/>
          <w:bCs/>
          <w:lang w:val="en-US" w:eastAsia="zh-CN"/>
        </w:rPr>
        <w:t>1.成交供应商需提供产品的检定证书。</w:t>
      </w:r>
    </w:p>
    <w:p>
      <w:pPr>
        <w:spacing w:line="400" w:lineRule="exact"/>
        <w:ind w:firstLine="480" w:firstLineChars="20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pPr>
        <w:spacing w:before="240" w:beforeLines="100"/>
        <w:jc w:val="center"/>
        <w:outlineLvl w:val="0"/>
        <w:rPr>
          <w:rFonts w:hint="eastAsia" w:ascii="方正小标宋_GBK" w:hAnsi="方正小标宋_GBK" w:eastAsia="方正小标宋_GBK" w:cs="方正小标宋_GBK"/>
          <w:sz w:val="32"/>
          <w:szCs w:val="32"/>
          <w:lang w:val="zh-CN"/>
        </w:rPr>
      </w:pPr>
    </w:p>
    <w:p>
      <w:pPr>
        <w:spacing w:before="240" w:beforeLines="100"/>
        <w:jc w:val="center"/>
        <w:outlineLvl w:val="0"/>
        <w:rPr>
          <w:rFonts w:hint="eastAsia" w:ascii="方正小标宋_GBK" w:hAnsi="方正小标宋_GBK" w:eastAsia="方正小标宋_GBK" w:cs="方正小标宋_GBK"/>
          <w:sz w:val="32"/>
          <w:szCs w:val="32"/>
          <w:lang w:val="zh-CN"/>
        </w:rPr>
      </w:pPr>
    </w:p>
    <w:p>
      <w:pPr>
        <w:pStyle w:val="2"/>
        <w:rPr>
          <w:rFonts w:hint="eastAsia" w:ascii="方正小标宋_GBK" w:hAnsi="方正小标宋_GBK" w:eastAsia="方正小标宋_GBK" w:cs="方正小标宋_GBK"/>
          <w:sz w:val="32"/>
          <w:szCs w:val="32"/>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54A52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spacing w:line="360" w:lineRule="auto"/>
      <w:ind w:firstLine="241" w:firstLineChars="100"/>
      <w:jc w:val="center"/>
    </w:pPr>
    <w:rPr>
      <w:b/>
      <w:bCs/>
      <w:color w:val="000000"/>
      <w:kern w:val="0"/>
    </w:rPr>
  </w:style>
  <w:style w:type="paragraph" w:styleId="6">
    <w:name w:val="Body Text"/>
    <w:basedOn w:val="1"/>
    <w:next w:val="7"/>
    <w:uiPriority w:val="0"/>
    <w:rPr>
      <w:sz w:val="21"/>
    </w:rPr>
  </w:style>
  <w:style w:type="paragraph" w:styleId="7">
    <w:name w:val="Date"/>
    <w:basedOn w:val="1"/>
    <w:next w:val="1"/>
    <w:qFormat/>
    <w:uiPriority w:val="0"/>
    <w:rPr>
      <w:b/>
      <w:sz w:val="28"/>
    </w:rPr>
  </w:style>
  <w:style w:type="paragraph" w:styleId="8">
    <w:name w:val="Plain Text"/>
    <w:basedOn w:val="1"/>
    <w:qFormat/>
    <w:uiPriority w:val="0"/>
    <w:rPr>
      <w:rFonts w:ascii="宋体" w:hAnsi="Courier New" w:cs="Courier New"/>
      <w:kern w:val="2"/>
      <w:szCs w:val="21"/>
    </w:rPr>
  </w:style>
  <w:style w:type="paragraph" w:customStyle="1" w:styleId="11">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2023-06-25T07:37:03Z</dcterms:created>
  <dc:creator>Administrator</dc:creator>
  <cp:lastModifiedBy>周敏</cp:lastModifiedBy>
  <dcterms:modified xsi:type="dcterms:W3CDTF">2023-06-25T07:37:21Z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68DA3410E6B54EC0A339F16CF5B0C7EA_12</vt:lpwstr>
  </property>
</Properties>
</file>