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jc w:val="center"/>
        <w:outlineLvl w:val="0"/>
        <w:rPr>
          <w:rFonts w:hint="eastAsia" w:hAnsi="宋体"/>
          <w:b/>
          <w:color w:val="000000"/>
          <w:szCs w:val="24"/>
        </w:rPr>
      </w:pPr>
      <w:r>
        <w:rPr>
          <w:rFonts w:hint="eastAsia" w:hAnsi="宋体" w:cs="宋体"/>
          <w:b/>
          <w:color w:val="000000"/>
          <w:sz w:val="32"/>
          <w:szCs w:val="32"/>
          <w:lang w:val="zh-CN"/>
        </w:rPr>
        <w:t>采购项目服务需求及技术要求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CN" w:eastAsia="zh-CN"/>
        </w:rPr>
      </w:pPr>
      <w:bookmarkStart w:id="0" w:name="_Toc285612596"/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CN" w:eastAsia="zh-CN"/>
        </w:rPr>
        <w:t>一、技术参数</w:t>
      </w:r>
    </w:p>
    <w:tbl>
      <w:tblPr>
        <w:tblStyle w:val="7"/>
        <w:tblpPr w:leftFromText="180" w:rightFromText="180" w:vertAnchor="text" w:horzAnchor="margin" w:tblpX="1" w:tblpY="87"/>
        <w:tblW w:w="95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1"/>
        <w:gridCol w:w="6356"/>
        <w:gridCol w:w="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项号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635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技术参数及性能配置要求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超纯水仪</w:t>
            </w:r>
          </w:p>
        </w:tc>
        <w:tc>
          <w:tcPr>
            <w:tcW w:w="63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一、设备用途：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以城市自来水为水源，采用一级RO系统、EDI连续电流去离子模块和大容量的DI离子交换纯化单元，内置式1.8升压力纯水桶和60升专业级PE纯水箱，可同时生产EDI纯水，UP超纯水，水质量满足ASTM D1193-06、GB/T 11446.1-2013、GB/T33087-2016、GB/T6682-2008、CP、EP、USP、JP、CAP、CLSI等规定的水质标准要求。</w:t>
            </w:r>
          </w:p>
          <w:p>
            <w:pPr>
              <w:pStyle w:val="3"/>
              <w:ind w:left="0" w:leftChars="0" w:firstLine="0" w:firstLineChars="0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二、主要指标：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产水量：≥20升/小时。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★出水口：三路出水：UP超纯水/DI高纯水/RO反渗透水。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2、超纯水仪出水水质参数：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（2）.超纯水水质：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电阻率(25℃)：</w:t>
            </w: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18.2 MΩ.cm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电导率(25℃)：≤0.055 μs/cm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★TOC：2ppb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微粒&lt;1 /ml (&gt;0.2μm)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细菌&lt;0.01 CFU/ml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★致热原(内毒素) &lt;0.001 EU/ml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★RNA酶：1 pg/ml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★DNA酶：5 pg/ml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★蛋白酶：0.15 μg/ml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（2）EDI去离子水水质：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★电阻率(25℃)：&gt;15MΩ.cm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★TOC：≤30ppb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微粒&lt;1/ml (&gt;0.2μm)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1" w:name="_Hlk120107137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细菌&lt;0.01CFU/ml</w:t>
            </w:r>
          </w:p>
          <w:bookmarkEnd w:id="1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（3）二级RO纯水水质：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★电阻率(25℃)：&gt;0.2 MΩ.cm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可溶性有机物截留&gt;99%(MW&gt;300 Dalton)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微粒及细菌去除率&gt;99%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3、操作系统：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（1）智能化人机交互操作系统，大尺寸LCD彩色电容屏，采用玻璃面板LINUX系统，中英文语言显示，3种主题界面切换，UI界面设计可直观了解滤芯，储存，水质状态、运行状态及参数等信息。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★（2）数据管理：可追溯的全面数据管理，存储5年的取水、报警和耗材更换记录等运行数据，通过云平台可实现产品生命周期的数据存储。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（3）具有USB和云平台导出下载数据，PDF格式的数据报告文档，防止篡改，数据内容需包含每次取水的水质、取水量及用户等信息，符合监管法规要求。（提供证明材料）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★（4）系统可通过以太网、WIFI联网，实现远程数据采集、监控和管理功能，可从PC、WAP或微信登录云平台，了解设备运行信息，可连接到LIMS实验室信息管理系统或BMS楼宇管理系统，实现设备信息化。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★（5）水质监测及报警：4路水质监测及超标报警（进水、RO水、EDI水和UP水）。电极常数0.01cm-1，温度灵敏度0.1℃，可同时显示温度补偿后的电导率/电阻率和水温。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★（6）内嵌式EDI模块，无需添加软化剂、化学再生或更换DI柱，既可稳定获得高品质水质，TOC≤30ppb的Ⅱ级纯水。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★（7）4路水量测量，包含3路（RO水、EDI水和UP水）定量取水功能和1路进水量累计功能。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（8）RO膜离子截留率实时显示和超标报警。配备进水压力传感器，在主屏幕实时监测并显示进水压力。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★（9）内置TOC检测模块，可实时监测超纯水的TOC，检测范围:0.5-999.9ppb，检测精度±0.1ppb，符合USP和EP系统适应性测试。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★（10）主用户可添加多个二级用户，每个用户均拥有独立ID及密码保护，查看及导出各ID的取水记录，实现按用户ID分摊耗材和维保成本。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（11）耗材管理功能：以结合水质、时间及处理量对耗材寿命进行管理，耗材具有原装序列号验证识别功能，防止耗材更错误。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★（12）主界面以动态百分比的形式显示滤芯剩余寿命，蓝黄红3色滤芯寿命逐级提醒，所有滤芯状态清晰可见。点击滤芯图标可查看滤芯状态，纯化技术和滤芯功能，并可实现扫码购买。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★（13）内置系统概览图，图文并茂的展示工艺流程、滤芯配置、水质参数、脱盐率、耗材寿命和水箱存储状态等信息。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★（14）系统配备同品牌</w:t>
            </w: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60升储水箱，由HDPE聚乙烯材料制造，外层加入抗UV助剂，内层使用纯PE原料（需提供原厂证明文件），水箱需采用锥形底设计，桶体桶底部安装有排水阀，可排空水箱储水，水箱需标配复合空气滤器，可吸附CO2和有机物，水箱需具有独立的LCD显示功能，采用压力传感器进行液位测量，水箱液面、存储量（L）、存储百分比（%）等信息均可通过水箱LCD显示屏同步显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15）系统配备同品牌远程取水臂，通过取水臂彩色显示器，可在线监测取水电阻率、水温、流速、单次和累积取水量，取水臂具有常规、定量、即时3种取水模式，可在水平120度的角度内固定在支架上使用，可实现与主机的纯水循环，并配备的0.2μm终端滤器，时刻保证纯水品质，单台主机至多可连接5套HiDis取水手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（16）系统具有RO冲洗、UF冲洗和系统消毒功能按键，可启动反渗透膜、超滤膜组件的强制清洗及系统加药消毒功能，并实时显示3种程序的剩余时间。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超纯水循环系统可设置间隔运行时间，能保持系统低细菌污染水平并降低能耗。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★（17）整机以DC24V为主电源，全面使用弱电元件，系统具有3级权限管理，管理员用户与普通用户有严格的权限区分，便于管理。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★（18）系统具有集成双漏水保护报警装置，可监测机器内部漏水及桌面积水。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★（19）进水、RO水、EDI水和超纯水水质超标报警、耗材寿命终结报警，且所有报警信息可存储于主机和云平台，满足数据安全要求。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★4、通讯接口要求：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USB接口，可导出运行数据或升级版本，USB/WIFI或RJ45接口，实现物联网和云平台连接以及其他接口：HiDiS取水臂接口，L-Tank纯水箱接口，FS脚踏开关接口，LS漏水传感器接口。机箱采用高阶的全注塑成型壳体，外观精美小巧，坚固耐腐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5、纯化柱结构要求：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12英寸预处理柱，包含</w:t>
            </w: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5um深层折叠PP纯化柱、活性炭纤维PC纯化柱（非普通碳棒/颗粒碳），大幅度的延长更换周期。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★采用二级RO系统，进口陶氏RO膜片，可设置RO膜冲洗间隔和持续时间，延长RO膜寿命，RO膜采用整体封装的抛弃式组件，杜绝二次污染。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★纯化柱为关键性耗材，需采用大容量结构设计，单根树脂填量达</w:t>
            </w: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1.36L/根，总量达</w:t>
            </w: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5.44升，整体封装结构，下垂流方式，防止树脂分层，确保高品质出水、减少TOC析出，降低使用成本。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6、其他要求：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★（1）质保期：36个月（加包3年耗材）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（2）标配配置：主机-1台，纯化柱-1套，内置1.8升压力纯水桶1个，60升PE纯水箱1个。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★（3）提供一份此纯水机制水的实验室一级水检测证书（证书中监测项目应包含《分析实验室用水规格和试验方法》(GB/T6682-2008)表所列规格一级水的所有项目）。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高温恒温水槽</w:t>
            </w:r>
          </w:p>
        </w:tc>
        <w:tc>
          <w:tcPr>
            <w:tcW w:w="63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一、主要指标：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1.使用温度范围：室温+5℃—沸腾温度（水）100℃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2.温度调节精度：±3℃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3.温度分布精度：±5℃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4.最高温度到达时间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：约40分钟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5.内槽：不锈钢板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6.加热器：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铜管加热（镀镍） 1400W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7.安全装置：过升防止器（液体膨胀式、自保持继电器、报警灯）过流量漏电断路器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8.内形尺寸：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≥9升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9.配置清单：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链子、盖子、容器安装夹具、架台、温度计（酒精）、底板</w:t>
            </w:r>
          </w:p>
        </w:tc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高温恒温水槽</w:t>
            </w:r>
          </w:p>
        </w:tc>
        <w:tc>
          <w:tcPr>
            <w:tcW w:w="63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一、主要指标：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1.使用温度范围：室温+5℃—沸腾温度（水）100℃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2.温度调节精度：±3℃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3.温度分布精度：±5℃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4.最高温度到达时间：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约60分钟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5.内槽：不锈钢板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6.加热器：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铜管加热（镀镍） 1300W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7.安全装置：过升防止器（液体膨胀式、自保持继电器、报警灯）过流量漏电断路器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8.内形尺寸：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≥14升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9.配置清单：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链子、盖子、容器安装夹具、架台、温度计（酒精）、底板、实验室双联2KW调温封闭式电炉两台</w:t>
            </w:r>
          </w:p>
        </w:tc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20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kern w:val="2"/>
                <w:sz w:val="24"/>
                <w:szCs w:val="24"/>
                <w:lang w:val="en-US" w:eastAsia="zh-CN" w:bidi="ar-SA"/>
              </w:rPr>
              <w:t>台式电导率仪 （非便携式）</w:t>
            </w:r>
          </w:p>
        </w:tc>
        <w:tc>
          <w:tcPr>
            <w:tcW w:w="63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color w:val="FF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28"/>
                <w:lang w:val="en-US" w:eastAsia="zh-CN"/>
              </w:rPr>
              <w:t>一、主要指标：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测量参数：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电导率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TDS，电阻率，盐度，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温度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测量范围：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电导率：0.000 μS/cm…2,000 mS/cm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TDS：0.00 mg/L…1,000 g/L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盐度：0.00…80.00 psu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电阻率：0.00…100.0 MΩ*cm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温度: -30.0～130.0℃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分辨率: 自动量程，最高分辨率 0.001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温度:0.1 °C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精度: 测量值的 0.5%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，温度:0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.1 °C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（0-100℃）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自动/手动温度补偿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任意选择中/英/德/法/意/俄/韩/西班牙/葡萄牙等10种操作语言的操作界面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自动校正、自动识别校准液,自动终点锁定, 自动温度补偿，1点或2点校准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内置13个标准液，可自定义标准液10组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终点模式：自动，手动，时间间隔，三种终点模式可供选择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仪器完全符合GLP要求，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可以实时存储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000组数据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，数据导出可使用U盘或软件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val="de-CH" w:eastAsia="zh-CN"/>
              </w:rPr>
              <w:t>7英寸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彩色触摸屏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全屏键盘，数据输入更轻松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用户指导和集成式帮助系统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状态指示灯显示仪表读数状态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两级用户权限管理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测量设置保存/导入为方法，彩色限值提醒，验证结果清晰提示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val="de-CH" w:eastAsia="zh-CN"/>
              </w:rPr>
              <w:t xml:space="preserve">IP54 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防尘防水，可更换保护罩，防腐密封接口保护盒</w:t>
            </w:r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电极支架精确定位，垂直移动，多向电极专用位置，升级线缆收纳，紧凑的工作空间，袋装溶液支架</w:t>
            </w:r>
          </w:p>
          <w:p>
            <w:pPr>
              <w:pStyle w:val="9"/>
              <w:numPr>
                <w:ilvl w:val="0"/>
                <w:numId w:val="0"/>
              </w:numPr>
              <w:spacing w:line="360" w:lineRule="auto"/>
              <w:ind w:left="360" w:leftChars="0"/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二、配置清单</w:t>
            </w:r>
          </w:p>
          <w:p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color w:val="FF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</w:rPr>
              <w:t>主机，</w:t>
            </w:r>
            <w:r>
              <w:rPr>
                <w:rFonts w:hint="eastAsia" w:ascii="仿宋" w:hAnsi="仿宋" w:eastAsia="仿宋" w:cs="仿宋"/>
                <w:color w:val="00B050"/>
                <w:sz w:val="22"/>
                <w:lang w:val="en-US" w:eastAsia="zh-CN"/>
              </w:rPr>
              <w:t>低</w:t>
            </w:r>
            <w:r>
              <w:rPr>
                <w:rFonts w:hint="eastAsia" w:ascii="仿宋" w:hAnsi="仿宋" w:eastAsia="仿宋" w:cs="仿宋"/>
                <w:color w:val="00B050"/>
                <w:sz w:val="22"/>
                <w:lang w:eastAsia="zh-CN"/>
              </w:rPr>
              <w:t>电导率</w:t>
            </w:r>
            <w:r>
              <w:rPr>
                <w:rFonts w:hint="eastAsia" w:ascii="仿宋" w:hAnsi="仿宋" w:eastAsia="仿宋" w:cs="仿宋"/>
                <w:color w:val="00B050"/>
                <w:sz w:val="22"/>
              </w:rPr>
              <w:t>电极</w:t>
            </w:r>
            <w:r>
              <w:rPr>
                <w:rFonts w:hint="eastAsia" w:ascii="仿宋" w:hAnsi="仿宋" w:eastAsia="仿宋" w:cs="仿宋"/>
                <w:color w:val="00B050"/>
                <w:sz w:val="22"/>
                <w:lang w:val="en-US" w:eastAsia="zh-CN"/>
              </w:rPr>
              <w:t>(测量纯水)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，电极支架，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val="en-US" w:eastAsia="zh-CN"/>
              </w:rPr>
              <w:t>电导率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袋装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eastAsia="zh-CN"/>
              </w:rPr>
              <w:t>标准</w:t>
            </w:r>
            <w:r>
              <w:rPr>
                <w:rFonts w:hint="eastAsia" w:ascii="仿宋" w:hAnsi="仿宋" w:eastAsia="仿宋" w:cs="仿宋"/>
                <w:color w:val="FF0000"/>
                <w:sz w:val="22"/>
              </w:rPr>
              <w:t>液，保护罩</w:t>
            </w:r>
            <w:r>
              <w:rPr>
                <w:rFonts w:hint="eastAsia" w:ascii="仿宋" w:hAnsi="仿宋" w:eastAsia="仿宋" w:cs="仿宋"/>
                <w:color w:val="FF0000"/>
                <w:sz w:val="22"/>
                <w:lang w:val="en-US" w:eastAsia="zh-CN"/>
              </w:rPr>
              <w:t>等、梅特勒PH 电极两个</w:t>
            </w:r>
          </w:p>
          <w:p>
            <w:pPr>
              <w:pStyle w:val="9"/>
              <w:numPr>
                <w:ilvl w:val="0"/>
                <w:numId w:val="0"/>
              </w:numPr>
              <w:spacing w:line="360" w:lineRule="auto"/>
              <w:ind w:left="360" w:leftChars="0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de-DE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de-DE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  <w:t>售后服务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1、★供应商提供仪器的现场安装调试并达到投标书指标要求的技术性能，并同时在现场对用户进行操作培训。如果现场安装测试指标未通过，用户有权要求退货并要求赔偿损失。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2、仪器保修期自验收合格日期起为12个月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3、仪器在调试通过后提供保修服务，在保修期内，所有服务及配件全部免费。生产厂家在安徽周边需设有备件库，能更及时地为用户提供备品备件。具备非常完善的售后服务体系，具备培训中心和厂家应用实验室,有专职的维修工程师及应用工程师有效保证售后维修的及时、快捷，并负责提供技术支持，保证仪器的正常操作，并协助用户进行方法开发。</w:t>
            </w:r>
          </w:p>
          <w:p>
            <w:pPr>
              <w:pStyle w:val="9"/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color w:val="FF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24"/>
                <w:szCs w:val="24"/>
                <w:lang w:val="en-US" w:eastAsia="zh-CN" w:bidi="ar-SA"/>
              </w:rPr>
              <w:t>4、提供仪器首次检定。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8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zh-CN" w:eastAsia="zh-CN"/>
        </w:rPr>
      </w:pP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CN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zh-CN" w:eastAsia="zh-CN"/>
        </w:rPr>
        <w:t>二、其它要求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）报价要求：</w:t>
      </w:r>
      <w:r>
        <w:rPr>
          <w:rFonts w:hint="eastAsia" w:ascii="仿宋" w:hAnsi="仿宋" w:eastAsia="仿宋" w:cs="仿宋"/>
          <w:sz w:val="24"/>
          <w:szCs w:val="24"/>
        </w:rPr>
        <w:t>供应商的报价应包括：人员费用、运输费用、设备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、安装、培训</w:t>
      </w:r>
      <w:r>
        <w:rPr>
          <w:rFonts w:hint="eastAsia" w:ascii="仿宋" w:hAnsi="仿宋" w:eastAsia="仿宋" w:cs="仿宋"/>
          <w:sz w:val="24"/>
          <w:szCs w:val="24"/>
        </w:rPr>
        <w:t>费、管理费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、售后服务费</w:t>
      </w:r>
      <w:r>
        <w:rPr>
          <w:rFonts w:hint="eastAsia" w:ascii="仿宋" w:hAnsi="仿宋" w:eastAsia="仿宋" w:cs="仿宋"/>
          <w:sz w:val="24"/>
          <w:szCs w:val="24"/>
        </w:rPr>
        <w:t>及税金等为完成磋商文件规定全部内容所需的一切应有费用。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napToGrid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eastAsia="zh-CN"/>
        </w:rPr>
        <w:t>供货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</w:rPr>
        <w:t>地点：采购人指定地点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eastAsia="zh-CN"/>
        </w:rPr>
        <w:t>）人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</w:rPr>
        <w:t>员培训要求（如有）</w:t>
      </w:r>
      <w:r>
        <w:rPr>
          <w:rFonts w:hint="eastAsia" w:ascii="仿宋" w:hAnsi="仿宋" w:eastAsia="仿宋" w:cs="仿宋"/>
          <w:sz w:val="24"/>
          <w:szCs w:val="24"/>
        </w:rPr>
        <w:t>货物安装、调试、验收合格后，中标人应对招标人的相关人员进行免费现场培训。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napToGrid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</w:rPr>
        <w:t>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/>
          <w:lang w:val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1.保修及售后服务：</w:t>
      </w:r>
      <w:r>
        <w:rPr>
          <w:rFonts w:hint="eastAsia" w:ascii="仿宋" w:hAnsi="仿宋" w:eastAsia="仿宋" w:cs="仿宋"/>
          <w:sz w:val="24"/>
          <w:szCs w:val="24"/>
        </w:rPr>
        <w:t>依据商品的保修条款及售后服务条款，提供原厂质保，质保期按照国家规定，且不低于所供品牌向用户承诺的质保期限。招标文件另有约定的从其约定。质保期从货物验收合格后算起。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napToGrid w:val="0"/>
          <w:sz w:val="24"/>
          <w:szCs w:val="24"/>
        </w:rPr>
        <w:t>付款及结算方式：</w:t>
      </w:r>
      <w:r>
        <w:rPr>
          <w:rFonts w:hint="eastAsia" w:ascii="仿宋" w:hAnsi="仿宋" w:eastAsia="仿宋" w:cs="仿宋"/>
          <w:b/>
          <w:bCs/>
          <w:snapToGrid w:val="0"/>
          <w:color w:val="0000FF"/>
          <w:sz w:val="24"/>
          <w:szCs w:val="24"/>
          <w:lang w:eastAsia="zh-CN"/>
        </w:rPr>
        <w:t>合同签订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eastAsia="zh-CN"/>
        </w:rPr>
        <w:t>后付合同价款的40％，验收合格后在由成交人申请，采购人相关科室在由领导审批后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  <w:t>2个星期内付清</w:t>
      </w:r>
      <w:r>
        <w:rPr>
          <w:rFonts w:hint="eastAsia" w:ascii="仿宋" w:hAnsi="仿宋" w:eastAsia="仿宋" w:cs="仿宋"/>
          <w:color w:val="0000FF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）验收方法及标准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按照签订的采购合同、技术要求及标准对每一环节、标准的履约情况进行验收。验收结束后，应当出具验收书，由双方共同签署。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B6BA2"/>
    <w:multiLevelType w:val="multilevel"/>
    <w:tmpl w:val="3B9B6BA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0E23043A"/>
    <w:rsid w:val="0E2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qFormat/>
    <w:uiPriority w:val="0"/>
    <w:pPr>
      <w:widowControl w:val="0"/>
      <w:ind w:left="100" w:leftChars="210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kern w:val="2"/>
      <w:szCs w:val="21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Arial Unicode MS" w:cs="Arial"/>
      <w:kern w:val="0"/>
      <w:sz w:val="24"/>
      <w:szCs w:val="24"/>
    </w:rPr>
  </w:style>
  <w:style w:type="table" w:styleId="7">
    <w:name w:val="Table Grid"/>
    <w:basedOn w:val="6"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List Paragraph"/>
    <w:basedOn w:val="1"/>
    <w:qFormat/>
    <w:uiPriority w:val="0"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2024-05-10T07:48:00Z</dcterms:created>
  <dc:creator>爱意</dc:creator>
  <cp:lastModifiedBy>爱意</cp:lastModifiedBy>
  <dcterms:modified xsi:type="dcterms:W3CDTF">2024-05-10T07:49:08Z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69504F27DD7442CD8F155571CF1F2917_11</vt:lpwstr>
  </property>
</Properties>
</file>