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numPr>
          <w:ilvl w:val="0"/>
          <w:numId w:val="0"/>
        </w:numPr>
        <w:kinsoku/>
        <w:overflowPunct/>
        <w:topLinePunct w:val="0"/>
        <w:bidi w:val="0"/>
        <w:spacing w:line="560" w:lineRule="exact"/>
        <w:rPr>
          <w:rFonts w:hint="eastAsia" w:ascii="仿宋" w:hAnsi="仿宋" w:eastAsia="仿宋" w:cs="仿宋"/>
          <w:b/>
          <w:kern w:val="44"/>
          <w:sz w:val="44"/>
          <w:szCs w:val="44"/>
          <w:lang w:val="en-US" w:eastAsia="zh-CN" w:bidi="ar-SA"/>
        </w:rPr>
      </w:pPr>
      <w:r>
        <w:rPr>
          <w:rFonts w:hint="eastAsia" w:ascii="仿宋" w:hAnsi="仿宋" w:eastAsia="仿宋" w:cs="仿宋"/>
          <w:b/>
          <w:kern w:val="44"/>
          <w:sz w:val="44"/>
          <w:szCs w:val="44"/>
          <w:lang w:val="en-US" w:eastAsia="zh-CN" w:bidi="ar-SA"/>
        </w:rPr>
        <w:t>服务需求</w:t>
      </w:r>
    </w:p>
    <w:p>
      <w:pPr>
        <w:pStyle w:val="7"/>
        <w:pageBreakBefore w:val="0"/>
        <w:numPr>
          <w:ilvl w:val="0"/>
          <w:numId w:val="0"/>
        </w:numPr>
        <w:kinsoku/>
        <w:overflowPunct/>
        <w:topLinePunct w:val="0"/>
        <w:bidi w:val="0"/>
        <w:spacing w:line="560" w:lineRule="exact"/>
        <w:ind w:left="2100" w:leftChars="0"/>
        <w:jc w:val="both"/>
        <w:rPr>
          <w:rFonts w:hint="eastAsia" w:ascii="仿宋" w:hAnsi="仿宋" w:eastAsia="仿宋" w:cs="仿宋"/>
          <w:b/>
          <w:kern w:val="0"/>
          <w:sz w:val="28"/>
          <w:szCs w:val="28"/>
          <w:lang w:val="en-US" w:eastAsia="zh-CN" w:bidi="ar-SA"/>
        </w:rPr>
      </w:pPr>
    </w:p>
    <w:p>
      <w:pPr>
        <w:spacing w:line="360" w:lineRule="auto"/>
        <w:ind w:firstLine="518" w:firstLineChars="247"/>
        <w:rPr>
          <w:rFonts w:hint="eastAsia" w:ascii="仿宋" w:hAnsi="仿宋" w:eastAsia="仿宋" w:cs="仿宋"/>
          <w:kern w:val="2"/>
          <w:sz w:val="28"/>
          <w:szCs w:val="28"/>
          <w:lang w:val="en-US" w:eastAsia="zh-CN" w:bidi="ar-SA"/>
        </w:rPr>
      </w:pPr>
      <w:r>
        <w:rPr>
          <w:rFonts w:hint="eastAsia" w:ascii="宋体" w:hAnsi="宋体" w:cs="Times New Roman"/>
          <w:szCs w:val="21"/>
          <w:lang w:val="en-US" w:eastAsia="zh-CN"/>
        </w:rPr>
        <w:t xml:space="preserve"> </w:t>
      </w:r>
      <w:r>
        <w:rPr>
          <w:rFonts w:hint="eastAsia" w:ascii="仿宋" w:hAnsi="仿宋" w:eastAsia="仿宋" w:cs="仿宋"/>
          <w:kern w:val="2"/>
          <w:sz w:val="28"/>
          <w:szCs w:val="28"/>
          <w:lang w:val="en-US" w:eastAsia="zh-CN" w:bidi="ar-SA"/>
        </w:rPr>
        <w:t>本项目采购标的所属行业：服务业</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91" w:firstLineChars="247"/>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采购内容：特种设备检验中的无损检测（射线、超声、磁粉、渗透）并及时出具有效检测报告。</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服务期限：合同签订之日起12个月</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结算方法：单个项目出具合格的检测报告后，根据中标价，工程量按实结算。</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7" w:leftChars="0" w:firstLine="413"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拟派服务人员及设备要求</w:t>
      </w:r>
    </w:p>
    <w:p>
      <w:pPr>
        <w:keepNext w:val="0"/>
        <w:keepLines w:val="0"/>
        <w:pageBreakBefore w:val="0"/>
        <w:widowControl w:val="0"/>
        <w:kinsoku/>
        <w:wordWrap/>
        <w:overflowPunct/>
        <w:topLinePunct w:val="0"/>
        <w:autoSpaceDE/>
        <w:autoSpaceDN/>
        <w:bidi w:val="0"/>
        <w:adjustRightInd/>
        <w:snapToGrid/>
        <w:spacing w:line="360" w:lineRule="auto"/>
        <w:ind w:firstLine="691" w:firstLineChars="247"/>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1、人员数量及相关持证项目数量</w:t>
      </w:r>
    </w:p>
    <w:p>
      <w:pPr>
        <w:keepNext w:val="0"/>
        <w:keepLines w:val="0"/>
        <w:pageBreakBefore w:val="0"/>
        <w:widowControl w:val="0"/>
        <w:kinsoku/>
        <w:wordWrap/>
        <w:overflowPunct/>
        <w:topLinePunct w:val="0"/>
        <w:autoSpaceDE/>
        <w:autoSpaceDN/>
        <w:bidi w:val="0"/>
        <w:adjustRightInd/>
        <w:snapToGrid/>
        <w:spacing w:line="360" w:lineRule="auto"/>
        <w:ind w:firstLine="691" w:firstLineChars="247"/>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签有正式聘用合同的全职特种设备检验检测人员（无损检测人员）不少于25人（注册单位须为投标单位，谈判响应文件中提供相关人员的特种设备检验检测人员（无损检测人员）注册证书复印件、影印件或扫描件及2022年5月至今连续6个月的社保证明材料，其中：</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(1)Ⅲ级无损检测人员不少于3人，其中RTⅢ、UTⅢ、MTⅢ、PTⅢ级无损检测人员资格各不少于1项；</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（2）Ⅱ级无损检测人员不少于18人，其中 RTⅡ、UTⅡ、MTⅡ、PTⅡ级无损检测人员资格各不少于5项。</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2、主要检测仪器设备（谈判响应文件中提供购买以下设备的相关票据）</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(1)射线检测装置8台，其中管电压大于或者等于300kV的X射线检测装置(或者y射线机)至少2台；</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(2)射线报警仪6台；</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(3)底片烘干箱以及黑度计(含标准黑度片)各1台；</w:t>
      </w:r>
    </w:p>
    <w:p>
      <w:pPr>
        <w:spacing w:line="360" w:lineRule="auto"/>
        <w:ind w:firstLine="691" w:firstLineChars="247"/>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)观片灯 4台；</w:t>
      </w:r>
    </w:p>
    <w:p>
      <w:pPr>
        <w:spacing w:line="360" w:lineRule="auto"/>
        <w:ind w:firstLine="691" w:firstLineChars="247"/>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CN" w:bidi="ar-SA"/>
        </w:rPr>
        <w:t>5</w:t>
      </w:r>
      <w:r>
        <w:rPr>
          <w:rFonts w:hint="default" w:ascii="仿宋" w:hAnsi="仿宋" w:eastAsia="仿宋" w:cs="仿宋"/>
          <w:kern w:val="2"/>
          <w:sz w:val="28"/>
          <w:szCs w:val="28"/>
          <w:lang w:val="en-US" w:eastAsia="zh-CN" w:bidi="ar-SA"/>
        </w:rPr>
        <w:t>)数字式超声波探伤仪5台；</w:t>
      </w:r>
    </w:p>
    <w:p>
      <w:pPr>
        <w:spacing w:line="360" w:lineRule="auto"/>
        <w:ind w:firstLine="691" w:firstLineChars="247"/>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CN" w:bidi="ar-SA"/>
        </w:rPr>
        <w:t>6</w:t>
      </w:r>
      <w:r>
        <w:rPr>
          <w:rFonts w:hint="default" w:ascii="仿宋" w:hAnsi="仿宋" w:eastAsia="仿宋" w:cs="仿宋"/>
          <w:kern w:val="2"/>
          <w:sz w:val="28"/>
          <w:szCs w:val="28"/>
          <w:lang w:val="en-US" w:eastAsia="zh-CN" w:bidi="ar-SA"/>
        </w:rPr>
        <w:t>)超声波测厚仪1台；</w:t>
      </w:r>
    </w:p>
    <w:p>
      <w:pPr>
        <w:spacing w:line="360" w:lineRule="auto"/>
        <w:ind w:firstLine="691" w:firstLineChars="247"/>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CN" w:bidi="ar-SA"/>
        </w:rPr>
        <w:t>7</w:t>
      </w:r>
      <w:r>
        <w:rPr>
          <w:rFonts w:hint="default" w:ascii="仿宋" w:hAnsi="仿宋" w:eastAsia="仿宋" w:cs="仿宋"/>
          <w:kern w:val="2"/>
          <w:sz w:val="28"/>
          <w:szCs w:val="28"/>
          <w:lang w:val="en-US" w:eastAsia="zh-CN" w:bidi="ar-SA"/>
        </w:rPr>
        <w:t>)磁粉检测仪5台；</w:t>
      </w:r>
    </w:p>
    <w:p>
      <w:pPr>
        <w:spacing w:line="360" w:lineRule="auto"/>
        <w:ind w:firstLine="691" w:firstLineChars="247"/>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CN" w:bidi="ar-SA"/>
        </w:rPr>
        <w:t>8</w:t>
      </w:r>
      <w:r>
        <w:rPr>
          <w:rFonts w:hint="default" w:ascii="仿宋" w:hAnsi="仿宋" w:eastAsia="仿宋" w:cs="仿宋"/>
          <w:kern w:val="2"/>
          <w:sz w:val="28"/>
          <w:szCs w:val="28"/>
          <w:lang w:val="en-US" w:eastAsia="zh-CN" w:bidi="ar-SA"/>
        </w:rPr>
        <w:t>)黑光灯1台；</w:t>
      </w:r>
    </w:p>
    <w:p>
      <w:pPr>
        <w:spacing w:line="360" w:lineRule="auto"/>
        <w:ind w:firstLine="691" w:firstLineChars="247"/>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CN" w:bidi="ar-SA"/>
        </w:rPr>
        <w:t>9</w:t>
      </w:r>
      <w:r>
        <w:rPr>
          <w:rFonts w:hint="default" w:ascii="仿宋" w:hAnsi="仿宋" w:eastAsia="仿宋" w:cs="仿宋"/>
          <w:kern w:val="2"/>
          <w:sz w:val="28"/>
          <w:szCs w:val="28"/>
          <w:lang w:val="en-US" w:eastAsia="zh-CN" w:bidi="ar-SA"/>
        </w:rPr>
        <w:t>)照度计和辐照计各1台；</w:t>
      </w:r>
    </w:p>
    <w:p>
      <w:pPr>
        <w:spacing w:line="360" w:lineRule="auto"/>
        <w:ind w:firstLine="691" w:firstLineChars="247"/>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CN" w:bidi="ar-SA"/>
        </w:rPr>
        <w:t>10</w:t>
      </w:r>
      <w:r>
        <w:rPr>
          <w:rFonts w:hint="default" w:ascii="仿宋" w:hAnsi="仿宋" w:eastAsia="仿宋" w:cs="仿宋"/>
          <w:kern w:val="2"/>
          <w:sz w:val="28"/>
          <w:szCs w:val="28"/>
          <w:lang w:val="en-US" w:eastAsia="zh-CN" w:bidi="ar-SA"/>
        </w:rPr>
        <w:t>)磁悬液浓度沉淀管1个</w:t>
      </w:r>
      <w:r>
        <w:rPr>
          <w:rFonts w:hint="eastAsia" w:ascii="仿宋" w:hAnsi="仿宋" w:eastAsia="仿宋" w:cs="仿宋"/>
          <w:kern w:val="2"/>
          <w:sz w:val="28"/>
          <w:szCs w:val="28"/>
          <w:lang w:val="en-US" w:eastAsia="zh-CN" w:bidi="ar-SA"/>
        </w:rPr>
        <w:t>。</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五、服务要求</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（一）总体要求</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1．供应商必须有足够的检测能力、资源条件和具体措施保证与采购人的检验工作同步进行。</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2．供应商提供的特种设备无损检测工程进度应保证检验单位和受检单位的工期要求。</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3.供应商应安排专人负责配合特种设备无损检测工程量的核算和验收工作，该人员应具有必要专业技术知识，能胜任相关工作。</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4.供应商所从事的各项特种设备无损检测工作的质量应符合相关技术规范和采购人检验检测质量要求，并经检验人员验收合格。</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5.供应商应遵守采购方及受检单位的安全管理规定和现场各项规章制度，服从检验单位现场指挥和安排，对其承担的特种设备无损检测工程安全负责。</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6.供应商应符合采购方的质量、安全管理要求，并能接受采购方相应的监督检查。</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7.如遇不可抗力等原因，供应商不能按时、保质、保量完成特种设备无损检测工作时，应及时向检验单位书面通报，协商解决。如果给采购人造成损失，采购人可根据情况追究供应商责任。</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（二）采购项目特殊需求</w:t>
      </w:r>
    </w:p>
    <w:tbl>
      <w:tblPr>
        <w:tblStyle w:val="8"/>
        <w:tblW w:w="9495" w:type="dxa"/>
        <w:tblInd w:w="0" w:type="dxa"/>
        <w:tblLayout w:type="autofit"/>
        <w:tblCellMar>
          <w:top w:w="15" w:type="dxa"/>
          <w:left w:w="15" w:type="dxa"/>
          <w:bottom w:w="15" w:type="dxa"/>
          <w:right w:w="15" w:type="dxa"/>
        </w:tblCellMar>
      </w:tblPr>
      <w:tblGrid>
        <w:gridCol w:w="910"/>
        <w:gridCol w:w="1197"/>
        <w:gridCol w:w="6335"/>
        <w:gridCol w:w="1053"/>
      </w:tblGrid>
      <w:tr>
        <w:tblPrEx>
          <w:tblCellMar>
            <w:top w:w="15" w:type="dxa"/>
            <w:left w:w="15" w:type="dxa"/>
            <w:bottom w:w="15" w:type="dxa"/>
            <w:right w:w="15" w:type="dxa"/>
          </w:tblCellMar>
        </w:tblPrEx>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序号</w:t>
            </w:r>
          </w:p>
        </w:tc>
        <w:tc>
          <w:tcPr>
            <w:tcW w:w="112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采购项目</w:t>
            </w:r>
          </w:p>
        </w:tc>
        <w:tc>
          <w:tcPr>
            <w:tcW w:w="595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spacing w:line="360" w:lineRule="auto"/>
              <w:ind w:firstLine="3208" w:firstLineChars="114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需求</w:t>
            </w:r>
          </w:p>
        </w:tc>
        <w:tc>
          <w:tcPr>
            <w:tcW w:w="99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工程量</w:t>
            </w:r>
          </w:p>
        </w:tc>
      </w:tr>
      <w:tr>
        <w:tblPrEx>
          <w:tblCellMar>
            <w:top w:w="15" w:type="dxa"/>
            <w:left w:w="15" w:type="dxa"/>
            <w:bottom w:w="15" w:type="dxa"/>
            <w:right w:w="15" w:type="dxa"/>
          </w:tblCellMar>
        </w:tblPrEx>
        <w:tc>
          <w:tcPr>
            <w:tcW w:w="8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spacing w:line="360" w:lineRule="auto"/>
              <w:rPr>
                <w:rFonts w:hint="eastAsia" w:ascii="仿宋" w:hAnsi="仿宋" w:eastAsia="仿宋" w:cs="仿宋"/>
                <w:kern w:val="2"/>
                <w:sz w:val="28"/>
                <w:szCs w:val="28"/>
                <w:lang w:val="en-US" w:eastAsia="zh-CN" w:bidi="ar-SA"/>
              </w:rPr>
            </w:pPr>
            <w:bookmarkStart w:id="0" w:name="_GoBack"/>
            <w:bookmarkEnd w:id="0"/>
            <w:r>
              <w:rPr>
                <w:rFonts w:hint="eastAsia" w:ascii="仿宋" w:hAnsi="仿宋" w:eastAsia="仿宋" w:cs="仿宋"/>
                <w:kern w:val="2"/>
                <w:sz w:val="28"/>
                <w:szCs w:val="28"/>
                <w:lang w:val="en-US" w:eastAsia="zh-CN" w:bidi="ar-SA"/>
              </w:rPr>
              <w:t>1</w:t>
            </w:r>
          </w:p>
        </w:tc>
        <w:tc>
          <w:tcPr>
            <w:tcW w:w="112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特种设备检验中的无损检测</w:t>
            </w:r>
          </w:p>
        </w:tc>
        <w:tc>
          <w:tcPr>
            <w:tcW w:w="5955"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1.具有中华人民共和国国家质量监督检验检疫总局核准颁发的有效的无损检测机构资质证明，至少获准开展RT、UT、MT、PT特种设备检测项目。</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2.检测人员资质必须满足国家法律法规和安全技术规范要求，并注册在投标单位。</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3.在采购方提出无损检测需求的2个工作日内开展检测。</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4.检测结束后，5个工作日内出具有效的检测报告。</w:t>
            </w:r>
          </w:p>
        </w:tc>
        <w:tc>
          <w:tcPr>
            <w:tcW w:w="99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根据实际发生工程量结算。</w:t>
            </w:r>
          </w:p>
        </w:tc>
      </w:tr>
    </w:tbl>
    <w:p>
      <w:pPr>
        <w:spacing w:line="360" w:lineRule="auto"/>
        <w:ind w:firstLine="691" w:firstLineChars="247"/>
        <w:rPr>
          <w:rFonts w:hint="eastAsia" w:ascii="仿宋" w:hAnsi="仿宋" w:eastAsia="仿宋" w:cs="仿宋"/>
          <w:kern w:val="2"/>
          <w:sz w:val="28"/>
          <w:szCs w:val="28"/>
          <w:lang w:val="en-US" w:eastAsia="zh-CN" w:bidi="ar-SA"/>
        </w:rPr>
      </w:pPr>
    </w:p>
    <w:p>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供应商应根据采购人检验任务进度安排和具体时间要求，完成相应的特种设备无损检测工程项目工作内容，通过现场检验人员验收，并及时出具有效检测报告。</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kern w:val="44"/>
          <w:sz w:val="44"/>
          <w:szCs w:val="44"/>
          <w:lang w:val="en-US" w:eastAsia="zh-CN" w:bidi="ar-SA"/>
        </w:rPr>
      </w:pPr>
      <w:r>
        <w:rPr>
          <w:rFonts w:hint="eastAsia" w:ascii="仿宋" w:hAnsi="仿宋" w:eastAsia="仿宋" w:cs="仿宋"/>
          <w:kern w:val="2"/>
          <w:sz w:val="28"/>
          <w:szCs w:val="28"/>
          <w:lang w:val="en-US" w:eastAsia="zh-CN" w:bidi="ar-SA"/>
        </w:rPr>
        <w:t>注：本项目录入3家供应商为本项目提供检测服务。谈判小组按照通过符合性审查且评审价由低到高的顺序，推荐3家中标候选人，中标价均为第一中标候选人的最终投标报价。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3"/>
      <w:numFmt w:val="chineseCounting"/>
      <w:suff w:val="nothing"/>
      <w:lvlText w:val="%1、"/>
      <w:lvlJc w:val="left"/>
      <w:pPr>
        <w:ind w:left="7"/>
      </w:pPr>
      <w:rPr>
        <w:rFonts w:cs="Times New Roman"/>
      </w:rPr>
    </w:lvl>
  </w:abstractNum>
  <w:abstractNum w:abstractNumId="1">
    <w:nsid w:val="54F75549"/>
    <w:multiLevelType w:val="singleLevel"/>
    <w:tmpl w:val="54F75549"/>
    <w:lvl w:ilvl="0" w:tentative="0">
      <w:start w:val="1"/>
      <w:numFmt w:val="chineseCounting"/>
      <w:suff w:val="nothing"/>
      <w:lvlText w:val="%1、"/>
      <w:lvlJc w:val="left"/>
      <w:rPr>
        <w:rFonts w:hint="eastAsia"/>
      </w:rPr>
    </w:lvl>
  </w:abstractNum>
  <w:abstractNum w:abstractNumId="2">
    <w:nsid w:val="60AE39CC"/>
    <w:multiLevelType w:val="multilevel"/>
    <w:tmpl w:val="60AE39CC"/>
    <w:lvl w:ilvl="0" w:tentative="0">
      <w:start w:val="1"/>
      <w:numFmt w:val="none"/>
      <w:pStyle w:val="6"/>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NjBjMDRkMTI4NDg4ZjUxMDc3ODI1NmIwYjQyNjgifQ=="/>
  </w:docVars>
  <w:rsids>
    <w:rsidRoot w:val="00000000"/>
    <w:rsid w:val="793D0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9"/>
    <w:pPr>
      <w:keepNext/>
      <w:widowControl/>
      <w:numPr>
        <w:ilvl w:val="0"/>
        <w:numId w:val="1"/>
      </w:numPr>
      <w:jc w:val="center"/>
      <w:outlineLvl w:val="0"/>
    </w:pPr>
    <w:rPr>
      <w:rFonts w:ascii="黑体" w:eastAsia="黑体"/>
      <w:kern w:val="0"/>
      <w:sz w:val="52"/>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spacing w:after="120"/>
      <w:ind w:left="420" w:leftChars="200" w:firstLine="420"/>
    </w:pPr>
    <w:rPr>
      <w:sz w:val="21"/>
      <w:szCs w:val="24"/>
    </w:rPr>
  </w:style>
  <w:style w:type="paragraph" w:styleId="3">
    <w:name w:val="Body Text Indent"/>
    <w:basedOn w:val="1"/>
    <w:next w:val="4"/>
    <w:unhideWhenUsed/>
    <w:uiPriority w:val="99"/>
    <w:pPr>
      <w:spacing w:after="120" w:afterLines="0"/>
      <w:ind w:left="420" w:leftChars="200"/>
    </w:pPr>
  </w:style>
  <w:style w:type="paragraph" w:styleId="4">
    <w:name w:val="envelope return"/>
    <w:basedOn w:val="1"/>
    <w:unhideWhenUsed/>
    <w:qFormat/>
    <w:uiPriority w:val="99"/>
    <w:pPr>
      <w:snapToGrid w:val="0"/>
    </w:pPr>
    <w:rPr>
      <w:rFonts w:hint="eastAsia" w:ascii="Arial" w:hAnsi="Arial"/>
    </w:rPr>
  </w:style>
  <w:style w:type="paragraph" w:styleId="5">
    <w:name w:val="List"/>
    <w:basedOn w:val="1"/>
    <w:unhideWhenUsed/>
    <w:uiPriority w:val="99"/>
    <w:pPr>
      <w:ind w:left="200" w:hanging="200" w:hangingChars="200"/>
    </w:pPr>
  </w:style>
  <w:style w:type="paragraph" w:styleId="7">
    <w:name w:val="Plain Text"/>
    <w:basedOn w:val="1"/>
    <w:unhideWhenUsed/>
    <w:qFormat/>
    <w:uiPriority w:val="99"/>
    <w:rPr>
      <w:rFonts w:ascii="宋体" w:hAnsi="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2024-06-15T00:19:13Z</dcterms:created>
  <dc:creator>Administrator</dc:creator>
  <cp:lastModifiedBy>赤湖</cp:lastModifiedBy>
  <dcterms:modified xsi:type="dcterms:W3CDTF">2024-06-15T00:19:25Z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81E58C8E1AB34A848566096CD4182842_12</vt:lpwstr>
  </property>
</Properties>
</file>