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eastAsia="宋体" w:cs="宋体"/>
          <w:b/>
          <w:bCs/>
          <w:sz w:val="36"/>
          <w:szCs w:val="24"/>
        </w:rPr>
      </w:pPr>
      <w:r>
        <w:rPr>
          <w:rFonts w:hint="eastAsia" w:ascii="宋体" w:hAnsi="宋体" w:eastAsia="宋体" w:cs="宋体"/>
          <w:b/>
          <w:bCs/>
          <w:sz w:val="36"/>
          <w:szCs w:val="24"/>
        </w:rPr>
        <w:t>安庆市国家致病菌识别网项目细菌外送测序技术服务参数</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sz w:val="24"/>
          <w:szCs w:val="24"/>
        </w:rPr>
      </w:pPr>
      <w:r>
        <w:rPr>
          <w:rFonts w:hint="eastAsia" w:ascii="宋体" w:hAnsi="宋体" w:eastAsia="宋体" w:cs="宋体"/>
          <w:b/>
          <w:sz w:val="24"/>
          <w:szCs w:val="24"/>
        </w:rPr>
        <w:t>技术要求参数：</w:t>
      </w:r>
    </w:p>
    <w:p>
      <w:pPr>
        <w:pStyle w:val="15"/>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Chars="0"/>
        <w:textAlignment w:val="auto"/>
        <w:rPr>
          <w:rFonts w:hint="eastAsia" w:ascii="宋体" w:hAnsi="宋体" w:eastAsia="宋体" w:cs="宋体"/>
          <w:sz w:val="24"/>
          <w:szCs w:val="24"/>
        </w:rPr>
      </w:pPr>
      <w:r>
        <w:rPr>
          <w:rFonts w:hint="eastAsia" w:ascii="宋体" w:hAnsi="宋体" w:eastAsia="宋体" w:cs="宋体"/>
          <w:sz w:val="24"/>
          <w:szCs w:val="24"/>
        </w:rPr>
        <w:t>★样本接收实验室具有ISO9001质量管理体系证书</w:t>
      </w:r>
      <w:r>
        <w:rPr>
          <w:rFonts w:hint="eastAsia" w:ascii="宋体" w:hAnsi="宋体" w:cs="宋体"/>
          <w:sz w:val="24"/>
          <w:szCs w:val="24"/>
          <w:lang w:eastAsia="zh-CN"/>
        </w:rPr>
        <w:t>和</w:t>
      </w:r>
      <w:r>
        <w:rPr>
          <w:rFonts w:hint="eastAsia" w:ascii="宋体" w:hAnsi="宋体" w:eastAsia="宋体" w:cs="宋体"/>
          <w:sz w:val="24"/>
          <w:szCs w:val="24"/>
        </w:rPr>
        <w:t>生物安全II级（BSL-2）资质，可以处理生物安全法规允许的相应病原体，提供相关佐证材料；</w:t>
      </w:r>
    </w:p>
    <w:p>
      <w:pPr>
        <w:pStyle w:val="15"/>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Chars="0"/>
        <w:textAlignment w:val="auto"/>
        <w:rPr>
          <w:rFonts w:hint="eastAsia" w:ascii="宋体" w:hAnsi="宋体" w:eastAsia="宋体" w:cs="宋体"/>
          <w:bCs/>
          <w:sz w:val="24"/>
          <w:szCs w:val="24"/>
        </w:rPr>
      </w:pPr>
      <w:r>
        <w:rPr>
          <w:rFonts w:hint="eastAsia" w:ascii="宋体" w:hAnsi="宋体" w:eastAsia="宋体" w:cs="宋体"/>
          <w:sz w:val="24"/>
          <w:szCs w:val="24"/>
        </w:rPr>
        <w:t>实验室搭载二代测序或三代测序的技术平台，包括illumina、DNBSEQ、PacBio、</w:t>
      </w:r>
      <w:r>
        <w:rPr>
          <w:rFonts w:hint="eastAsia" w:ascii="宋体" w:hAnsi="宋体" w:eastAsia="宋体" w:cs="宋体"/>
          <w:bCs/>
          <w:sz w:val="24"/>
          <w:szCs w:val="24"/>
        </w:rPr>
        <w:t>Nonapore或ABI3730xl、illumina NovaSeq、NextSeq、MiSeq等；</w:t>
      </w:r>
    </w:p>
    <w:p>
      <w:pPr>
        <w:pStyle w:val="15"/>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Chars="0"/>
        <w:textAlignment w:val="auto"/>
        <w:rPr>
          <w:rFonts w:hint="eastAsia" w:ascii="宋体" w:hAnsi="宋体" w:eastAsia="宋体" w:cs="宋体"/>
          <w:bCs/>
          <w:sz w:val="24"/>
          <w:szCs w:val="24"/>
        </w:rPr>
      </w:pPr>
      <w:r>
        <w:rPr>
          <w:rFonts w:hint="eastAsia" w:ascii="宋体" w:hAnsi="宋体" w:eastAsia="宋体" w:cs="宋体"/>
          <w:sz w:val="24"/>
          <w:szCs w:val="24"/>
        </w:rPr>
        <w:t>★</w:t>
      </w:r>
      <w:r>
        <w:rPr>
          <w:rFonts w:hint="eastAsia" w:ascii="宋体" w:hAnsi="宋体" w:eastAsia="宋体" w:cs="宋体"/>
          <w:bCs/>
          <w:sz w:val="24"/>
          <w:szCs w:val="24"/>
        </w:rPr>
        <w:t>病原体测序的报告周期：细菌基因组组装50样本以内在15工作日内完成，包括分析。</w:t>
      </w:r>
    </w:p>
    <w:p>
      <w:pPr>
        <w:pStyle w:val="15"/>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Chars="0"/>
        <w:textAlignment w:val="auto"/>
        <w:rPr>
          <w:rFonts w:hint="eastAsia" w:ascii="宋体" w:hAnsi="宋体" w:eastAsia="宋体" w:cs="宋体"/>
          <w:sz w:val="24"/>
          <w:szCs w:val="24"/>
        </w:rPr>
      </w:pPr>
      <w:r>
        <w:rPr>
          <w:rFonts w:hint="eastAsia" w:ascii="宋体" w:hAnsi="宋体" w:eastAsia="宋体" w:cs="宋体"/>
          <w:sz w:val="24"/>
          <w:szCs w:val="24"/>
        </w:rPr>
        <w:t>★专用核酸提取试剂可搭配仪器使用，对革兰氏阳性菌、革兰氏阴性菌均有较好效果，提高低浓度样本的文库构建和测序成功概率（说明书中有特别标注用于测序，提供生产商盖章说明书）；可免费提供提取设备及专用试剂供用户自测验证；</w:t>
      </w:r>
    </w:p>
    <w:p>
      <w:pPr>
        <w:pStyle w:val="15"/>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Chars="0"/>
        <w:textAlignment w:val="auto"/>
        <w:rPr>
          <w:rFonts w:hint="eastAsia" w:ascii="宋体" w:hAnsi="宋体" w:eastAsia="宋体" w:cs="宋体"/>
          <w:sz w:val="24"/>
          <w:szCs w:val="24"/>
        </w:rPr>
      </w:pPr>
      <w:r>
        <w:rPr>
          <w:rFonts w:hint="eastAsia" w:ascii="宋体" w:hAnsi="宋体" w:eastAsia="宋体" w:cs="宋体"/>
          <w:sz w:val="24"/>
          <w:szCs w:val="24"/>
        </w:rPr>
        <w:t>对病原体核酸检测、文库构建、测序以及数据分析整个流程提供打包服务；</w:t>
      </w:r>
    </w:p>
    <w:p>
      <w:pPr>
        <w:pStyle w:val="15"/>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Chars="0"/>
        <w:textAlignment w:val="auto"/>
        <w:rPr>
          <w:rFonts w:hint="eastAsia" w:ascii="宋体" w:hAnsi="宋体" w:eastAsia="宋体" w:cs="宋体"/>
          <w:sz w:val="24"/>
          <w:szCs w:val="24"/>
        </w:rPr>
      </w:pPr>
      <w:r>
        <w:rPr>
          <w:rFonts w:hint="eastAsia" w:ascii="宋体" w:hAnsi="宋体" w:eastAsia="宋体" w:cs="宋体"/>
          <w:sz w:val="24"/>
          <w:szCs w:val="24"/>
        </w:rPr>
        <w:t>★最终反馈的测序数据质量情况：Q30&gt;</w:t>
      </w:r>
      <w:r>
        <w:rPr>
          <w:rFonts w:hint="eastAsia" w:ascii="宋体" w:hAnsi="宋体" w:eastAsia="宋体" w:cs="宋体"/>
          <w:color w:val="000000"/>
          <w:sz w:val="24"/>
          <w:szCs w:val="24"/>
        </w:rPr>
        <w:t>85</w:t>
      </w:r>
      <w:r>
        <w:rPr>
          <w:rFonts w:hint="eastAsia" w:ascii="宋体" w:hAnsi="宋体" w:eastAsia="宋体" w:cs="宋体"/>
          <w:sz w:val="24"/>
          <w:szCs w:val="24"/>
        </w:rPr>
        <w:t>%，Clean Data&gt;1G；</w:t>
      </w:r>
    </w:p>
    <w:p>
      <w:pPr>
        <w:pStyle w:val="15"/>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Chars="0"/>
        <w:textAlignment w:val="auto"/>
        <w:rPr>
          <w:rFonts w:hint="eastAsia" w:ascii="宋体" w:hAnsi="宋体" w:eastAsia="宋体" w:cs="宋体"/>
          <w:sz w:val="24"/>
          <w:szCs w:val="24"/>
        </w:rPr>
      </w:pPr>
      <w:r>
        <w:rPr>
          <w:rFonts w:hint="eastAsia" w:ascii="宋体" w:hAnsi="宋体" w:eastAsia="宋体" w:cs="宋体"/>
          <w:sz w:val="24"/>
          <w:szCs w:val="24"/>
        </w:rPr>
        <w:t>★最终数据的组装结果满足：基因组覆盖度&gt;99%,平均测序覆盖深度&gt;100x，scaffold 不超过100个；</w:t>
      </w:r>
    </w:p>
    <w:p>
      <w:pPr>
        <w:pStyle w:val="15"/>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Chars="0"/>
        <w:textAlignment w:val="auto"/>
        <w:rPr>
          <w:rFonts w:hint="eastAsia" w:ascii="宋体" w:hAnsi="宋体" w:eastAsia="宋体" w:cs="宋体"/>
          <w:color w:val="000000"/>
          <w:sz w:val="24"/>
          <w:szCs w:val="24"/>
        </w:rPr>
      </w:pPr>
      <w:r>
        <w:rPr>
          <w:rFonts w:hint="eastAsia" w:ascii="宋体" w:hAnsi="宋体" w:eastAsia="宋体" w:cs="宋体"/>
          <w:sz w:val="24"/>
          <w:szCs w:val="24"/>
        </w:rPr>
        <w:t>★</w:t>
      </w:r>
      <w:r>
        <w:rPr>
          <w:rFonts w:hint="eastAsia" w:ascii="宋体" w:hAnsi="宋体" w:eastAsia="宋体" w:cs="宋体"/>
          <w:color w:val="000000"/>
          <w:sz w:val="24"/>
          <w:szCs w:val="24"/>
        </w:rPr>
        <w:t>最终提供的测序数据文件无需额外分析处理，可以直接上传国家致病菌识别网实验室监测信息的系统；</w:t>
      </w:r>
    </w:p>
    <w:p>
      <w:pPr>
        <w:pStyle w:val="15"/>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Chars="0"/>
        <w:textAlignment w:val="auto"/>
        <w:rPr>
          <w:rFonts w:hint="eastAsia" w:ascii="宋体" w:hAnsi="宋体" w:eastAsia="宋体" w:cs="宋体"/>
          <w:sz w:val="24"/>
          <w:szCs w:val="24"/>
        </w:rPr>
      </w:pPr>
      <w:r>
        <w:rPr>
          <w:rFonts w:hint="eastAsia" w:ascii="宋体" w:hAnsi="宋体" w:eastAsia="宋体" w:cs="宋体"/>
          <w:sz w:val="24"/>
          <w:szCs w:val="24"/>
        </w:rPr>
        <w:t>提供生物信息分析服务，基因组组装、基因组组分分析、基因功能分析、动物病原细菌致病性和耐药性分析等，包括：病原与宿主互作数据库（PHI）注释、细菌致病菌毒力因子（VFDB）注释、耐药基因（CARD）注释等分析服务。依据客户需求提供个性化分析服务，提供论文插图、翻译、写作、投稿等协助服务。</w:t>
      </w:r>
    </w:p>
    <w:p>
      <w:pPr>
        <w:pStyle w:val="15"/>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Chars="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有过细菌基因组项目经验，</w:t>
      </w:r>
      <w:r>
        <w:rPr>
          <w:rFonts w:hint="eastAsia" w:ascii="宋体" w:hAnsi="宋体" w:eastAsia="宋体" w:cs="宋体"/>
          <w:sz w:val="24"/>
          <w:szCs w:val="24"/>
        </w:rPr>
        <w:t>拥有专业测序分析团队，相关人员有多年从事病原体测序工作经验；</w:t>
      </w:r>
    </w:p>
    <w:p>
      <w:pPr>
        <w:pStyle w:val="15"/>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Chars="0"/>
        <w:textAlignment w:val="auto"/>
        <w:rPr>
          <w:rFonts w:hint="eastAsia" w:ascii="宋体" w:hAnsi="宋体" w:eastAsia="宋体" w:cs="宋体"/>
          <w:sz w:val="24"/>
          <w:szCs w:val="24"/>
        </w:rPr>
      </w:pPr>
      <w:r>
        <w:rPr>
          <w:rFonts w:hint="eastAsia" w:ascii="宋体" w:hAnsi="宋体" w:eastAsia="宋体" w:cs="宋体"/>
          <w:sz w:val="24"/>
          <w:szCs w:val="24"/>
        </w:rPr>
        <w:t>★宏基因测序要求：</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11.1Rawdata要求：</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11.1.1、 双端测序，reads长度至少150bp,</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11.1.2、 Rawdata数据量：至少10G；</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11.1.3、 rawdata质量： Q30以上占比高于85%，Q20以上高于90%。</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11.2、Rawdata过滤原则：去接头序列，去宿主序列，删除与接头序列有15bp重合的reads</w:t>
      </w:r>
    </w:p>
    <w:p>
      <w:pPr>
        <w:pStyle w:val="15"/>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000000"/>
          <w:sz w:val="24"/>
          <w:szCs w:val="24"/>
        </w:rPr>
      </w:pPr>
      <w:r>
        <w:rPr>
          <w:rFonts w:hint="eastAsia" w:ascii="宋体" w:hAnsi="宋体" w:eastAsia="宋体" w:cs="宋体"/>
          <w:sz w:val="24"/>
          <w:szCs w:val="24"/>
        </w:rPr>
        <w:t>11.3、cleandata过滤原则：含5bpN的reads 丢弃，截掉平均质量低于20的序列</w:t>
      </w:r>
    </w:p>
    <w:p>
      <w:pPr>
        <w:pStyle w:val="15"/>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Chars="0"/>
        <w:textAlignment w:val="auto"/>
        <w:rPr>
          <w:rFonts w:hint="eastAsia" w:ascii="宋体" w:hAnsi="宋体" w:eastAsia="宋体" w:cs="宋体"/>
          <w:sz w:val="24"/>
          <w:szCs w:val="24"/>
        </w:rPr>
      </w:pPr>
      <w:r>
        <w:rPr>
          <w:rFonts w:hint="eastAsia" w:ascii="宋体" w:hAnsi="宋体" w:eastAsia="宋体" w:cs="宋体"/>
          <w:sz w:val="24"/>
          <w:szCs w:val="24"/>
        </w:rPr>
        <w:t>在核酸质控合格的情况下，如果测序不成功或数据质量不符合双方约定的标准，发生测序结果上传国家数据库不合格的情况，仅收取质检相关费用，不收取测序费用。</w:t>
      </w:r>
    </w:p>
    <w:p>
      <w:pPr>
        <w:pStyle w:val="15"/>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Chars="0"/>
        <w:textAlignment w:val="auto"/>
        <w:rPr>
          <w:rFonts w:hint="eastAsia" w:ascii="宋体" w:hAnsi="宋体" w:eastAsia="宋体" w:cs="宋体"/>
          <w:sz w:val="24"/>
          <w:szCs w:val="24"/>
        </w:rPr>
      </w:pPr>
      <w:r>
        <w:rPr>
          <w:rFonts w:hint="eastAsia" w:ascii="宋体" w:hAnsi="宋体" w:eastAsia="宋体" w:cs="宋体"/>
          <w:sz w:val="24"/>
          <w:szCs w:val="24"/>
        </w:rPr>
        <w:t>本次测序标本包括国家致病菌识别网细菌基因组框架图测定分析服务</w:t>
      </w:r>
      <w:r>
        <w:rPr>
          <w:rFonts w:hint="eastAsia" w:ascii="宋体" w:hAnsi="宋体" w:eastAsia="宋体" w:cs="宋体"/>
          <w:b/>
          <w:bCs/>
          <w:sz w:val="24"/>
          <w:szCs w:val="24"/>
        </w:rPr>
        <w:t>80</w:t>
      </w:r>
      <w:r>
        <w:rPr>
          <w:rFonts w:hint="eastAsia" w:ascii="宋体" w:hAnsi="宋体" w:eastAsia="宋体" w:cs="宋体"/>
          <w:sz w:val="24"/>
          <w:szCs w:val="24"/>
        </w:rPr>
        <w:t>株（600元/株）、细菌全基因组完成图测序分析服务</w:t>
      </w:r>
      <w:r>
        <w:rPr>
          <w:rFonts w:hint="eastAsia" w:ascii="宋体" w:hAnsi="宋体" w:eastAsia="宋体" w:cs="宋体"/>
          <w:b/>
          <w:bCs/>
          <w:sz w:val="24"/>
          <w:szCs w:val="24"/>
        </w:rPr>
        <w:t>10</w:t>
      </w:r>
      <w:r>
        <w:rPr>
          <w:rFonts w:hint="eastAsia" w:ascii="宋体" w:hAnsi="宋体" w:eastAsia="宋体" w:cs="宋体"/>
          <w:sz w:val="24"/>
          <w:szCs w:val="24"/>
        </w:rPr>
        <w:t>株（3000元/株）、病原体宏基因测序</w:t>
      </w:r>
      <w:r>
        <w:rPr>
          <w:rFonts w:hint="eastAsia" w:ascii="宋体" w:hAnsi="宋体" w:eastAsia="宋体" w:cs="宋体"/>
          <w:b/>
          <w:bCs/>
          <w:sz w:val="24"/>
          <w:szCs w:val="24"/>
        </w:rPr>
        <w:t>60份</w:t>
      </w:r>
      <w:r>
        <w:rPr>
          <w:rFonts w:hint="eastAsia" w:ascii="宋体" w:hAnsi="宋体" w:eastAsia="宋体" w:cs="宋体"/>
          <w:sz w:val="24"/>
          <w:szCs w:val="24"/>
        </w:rPr>
        <w:t>（1200元/份），具体测序方式及数量以实际需求为准，总价15</w:t>
      </w:r>
      <w:r>
        <w:rPr>
          <w:rFonts w:hint="eastAsia" w:ascii="宋体" w:hAnsi="宋体" w:eastAsia="宋体" w:cs="宋体"/>
          <w:b/>
          <w:bCs/>
          <w:sz w:val="24"/>
          <w:szCs w:val="24"/>
        </w:rPr>
        <w:t>万</w:t>
      </w:r>
      <w:r>
        <w:rPr>
          <w:rFonts w:hint="eastAsia" w:ascii="宋体" w:hAnsi="宋体" w:eastAsia="宋体" w:cs="宋体"/>
          <w:sz w:val="24"/>
          <w:szCs w:val="24"/>
        </w:rPr>
        <w:t>元，测序数据及服务需通过使用单位质量复核后方为验收合格。</w:t>
      </w:r>
    </w:p>
    <w:p>
      <w:pPr>
        <w:pStyle w:val="15"/>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Chars="0"/>
        <w:textAlignment w:val="auto"/>
        <w:rPr>
          <w:rFonts w:hint="eastAsia" w:ascii="宋体" w:hAnsi="宋体" w:eastAsia="宋体" w:cs="宋体"/>
          <w:sz w:val="24"/>
          <w:szCs w:val="24"/>
        </w:rPr>
      </w:pPr>
      <w:r>
        <w:rPr>
          <w:rFonts w:hint="eastAsia" w:ascii="宋体" w:hAnsi="宋体" w:eastAsia="宋体" w:cs="宋体"/>
          <w:sz w:val="24"/>
          <w:szCs w:val="24"/>
        </w:rPr>
        <w:t>为了确保投标人能够按时顺利完成该项目，要求投标人提供的实验室拥有三台以上测序平台,并标明以上设备的序列号，以及现场图片。</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14、投标人需提供两家以上的测序公司平台，以保证病原菌测序质量的可比性。</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b/>
          <w:sz w:val="24"/>
          <w:szCs w:val="24"/>
        </w:rPr>
        <w:t>备注说明</w:t>
      </w:r>
      <w:r>
        <w:rPr>
          <w:rFonts w:hint="eastAsia" w:ascii="宋体" w:hAnsi="宋体" w:eastAsia="宋体" w:cs="宋体"/>
          <w:sz w:val="24"/>
          <w:szCs w:val="24"/>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1.我们的样本主要是病原微生物，有致病性的特点，为保证生物安全的要求，实验室必须具有</w:t>
      </w:r>
      <w:r>
        <w:rPr>
          <w:rFonts w:hint="eastAsia" w:ascii="宋体" w:hAnsi="宋体" w:eastAsia="宋体" w:cs="宋体"/>
          <w:sz w:val="24"/>
          <w:szCs w:val="24"/>
        </w:rPr>
        <w:t>ISO9001质量管理体系证书</w:t>
      </w:r>
      <w:r>
        <w:rPr>
          <w:rFonts w:hint="eastAsia" w:ascii="宋体" w:hAnsi="宋体" w:cs="宋体"/>
          <w:sz w:val="24"/>
          <w:szCs w:val="24"/>
          <w:lang w:eastAsia="zh-CN"/>
        </w:rPr>
        <w:t>和</w:t>
      </w:r>
      <w:r>
        <w:rPr>
          <w:rFonts w:hint="eastAsia" w:ascii="宋体" w:hAnsi="宋体" w:eastAsia="宋体" w:cs="宋体"/>
          <w:color w:val="000000"/>
          <w:sz w:val="24"/>
          <w:szCs w:val="24"/>
        </w:rPr>
        <w:t>生物安全II级（BSL-2）资质，可以处理相应病原体。</w:t>
      </w:r>
      <w:bookmarkStart w:id="0" w:name="_GoBack"/>
      <w:bookmarkEnd w:id="0"/>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2.除测序外，提供专业的信息学分析结果，以便快速了解疫情，分析病原；</w:t>
      </w:r>
    </w:p>
    <w:p>
      <w:pPr>
        <w:pStyle w:val="15"/>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3.根据实际工作需要，具体测序服务种类和数量可能会有所调整，供应商须能够满足采购人调整需求。</w:t>
      </w:r>
    </w:p>
    <w:p>
      <w:pPr>
        <w:pStyle w:val="15"/>
        <w:spacing w:line="360" w:lineRule="auto"/>
        <w:ind w:firstLine="0" w:firstLineChars="0"/>
        <w:rPr>
          <w:rFonts w:hint="eastAsia" w:ascii="宋体" w:hAnsi="宋体" w:eastAsia="宋体" w:cs="宋体"/>
          <w:sz w:val="24"/>
          <w:szCs w:val="24"/>
        </w:rPr>
      </w:pPr>
    </w:p>
    <w:sectPr>
      <w:pgSz w:w="11906" w:h="16838"/>
      <w:pgMar w:top="1440" w:right="1417" w:bottom="144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D31E5C"/>
    <w:multiLevelType w:val="multilevel"/>
    <w:tmpl w:val="26D31E5C"/>
    <w:lvl w:ilvl="0" w:tentative="0">
      <w:start w:val="1"/>
      <w:numFmt w:val="decimal"/>
      <w:lvlText w:val="%1."/>
      <w:lvlJc w:val="left"/>
      <w:pPr>
        <w:ind w:left="420" w:hanging="420"/>
      </w:pPr>
      <w:rPr>
        <w:rFonts w:cs="Times New Roman"/>
        <w:color w:val="000000"/>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UwYjkwYzhkYmQ4YmQ3ZjI4Y2E0NzJlYjE3YjNjMDAifQ=="/>
  </w:docVars>
  <w:rsids>
    <w:rsidRoot w:val="009D6ADF"/>
    <w:rsid w:val="000378BA"/>
    <w:rsid w:val="0004344E"/>
    <w:rsid w:val="000722DA"/>
    <w:rsid w:val="00085580"/>
    <w:rsid w:val="000C02F5"/>
    <w:rsid w:val="000C6073"/>
    <w:rsid w:val="000D1081"/>
    <w:rsid w:val="000D63A5"/>
    <w:rsid w:val="000E4BC9"/>
    <w:rsid w:val="00123559"/>
    <w:rsid w:val="00125FD7"/>
    <w:rsid w:val="0016628E"/>
    <w:rsid w:val="001803AF"/>
    <w:rsid w:val="00180B24"/>
    <w:rsid w:val="00180CC5"/>
    <w:rsid w:val="00181114"/>
    <w:rsid w:val="001C05CE"/>
    <w:rsid w:val="001D5B1E"/>
    <w:rsid w:val="001E7D75"/>
    <w:rsid w:val="00214DCA"/>
    <w:rsid w:val="00225101"/>
    <w:rsid w:val="00247559"/>
    <w:rsid w:val="00252143"/>
    <w:rsid w:val="00260204"/>
    <w:rsid w:val="00275A11"/>
    <w:rsid w:val="00275BCF"/>
    <w:rsid w:val="00285956"/>
    <w:rsid w:val="002C59C6"/>
    <w:rsid w:val="002C6296"/>
    <w:rsid w:val="002E0122"/>
    <w:rsid w:val="002F7DD3"/>
    <w:rsid w:val="003213F6"/>
    <w:rsid w:val="00321C16"/>
    <w:rsid w:val="00357D8E"/>
    <w:rsid w:val="00383911"/>
    <w:rsid w:val="00395A1E"/>
    <w:rsid w:val="003B0821"/>
    <w:rsid w:val="003C6779"/>
    <w:rsid w:val="003D29EF"/>
    <w:rsid w:val="003E7615"/>
    <w:rsid w:val="004003D3"/>
    <w:rsid w:val="00426FE5"/>
    <w:rsid w:val="00434C03"/>
    <w:rsid w:val="00447FAA"/>
    <w:rsid w:val="00450116"/>
    <w:rsid w:val="004560B9"/>
    <w:rsid w:val="004623F3"/>
    <w:rsid w:val="00467CB0"/>
    <w:rsid w:val="00485ABD"/>
    <w:rsid w:val="00491E30"/>
    <w:rsid w:val="004D17FF"/>
    <w:rsid w:val="00515876"/>
    <w:rsid w:val="005244C5"/>
    <w:rsid w:val="0052500B"/>
    <w:rsid w:val="00527F13"/>
    <w:rsid w:val="00540B41"/>
    <w:rsid w:val="005444D3"/>
    <w:rsid w:val="00550A1F"/>
    <w:rsid w:val="00595379"/>
    <w:rsid w:val="005D7CB9"/>
    <w:rsid w:val="005E6F18"/>
    <w:rsid w:val="005F4B74"/>
    <w:rsid w:val="00604A88"/>
    <w:rsid w:val="00620B44"/>
    <w:rsid w:val="00626BC8"/>
    <w:rsid w:val="0064384D"/>
    <w:rsid w:val="00644540"/>
    <w:rsid w:val="00671DB1"/>
    <w:rsid w:val="00673B0C"/>
    <w:rsid w:val="00682D39"/>
    <w:rsid w:val="006834FC"/>
    <w:rsid w:val="006968BE"/>
    <w:rsid w:val="006B3233"/>
    <w:rsid w:val="007022F4"/>
    <w:rsid w:val="00716757"/>
    <w:rsid w:val="00724F04"/>
    <w:rsid w:val="00726CFB"/>
    <w:rsid w:val="00727355"/>
    <w:rsid w:val="007522CD"/>
    <w:rsid w:val="0076066E"/>
    <w:rsid w:val="00765429"/>
    <w:rsid w:val="0077035D"/>
    <w:rsid w:val="00795B5A"/>
    <w:rsid w:val="007A3640"/>
    <w:rsid w:val="007B4C10"/>
    <w:rsid w:val="007C0EDE"/>
    <w:rsid w:val="007C150B"/>
    <w:rsid w:val="007D5BC3"/>
    <w:rsid w:val="007D747D"/>
    <w:rsid w:val="007F3BE9"/>
    <w:rsid w:val="00826AA8"/>
    <w:rsid w:val="00856162"/>
    <w:rsid w:val="00866748"/>
    <w:rsid w:val="0088593A"/>
    <w:rsid w:val="00891A30"/>
    <w:rsid w:val="008A4A82"/>
    <w:rsid w:val="008D26AA"/>
    <w:rsid w:val="00912D43"/>
    <w:rsid w:val="00931EB6"/>
    <w:rsid w:val="0093268A"/>
    <w:rsid w:val="00946BBA"/>
    <w:rsid w:val="0096110C"/>
    <w:rsid w:val="00973E8B"/>
    <w:rsid w:val="0097492F"/>
    <w:rsid w:val="009977D6"/>
    <w:rsid w:val="009A57FC"/>
    <w:rsid w:val="009B7F31"/>
    <w:rsid w:val="009D6ADF"/>
    <w:rsid w:val="00A17B95"/>
    <w:rsid w:val="00A44D08"/>
    <w:rsid w:val="00A90104"/>
    <w:rsid w:val="00A9711D"/>
    <w:rsid w:val="00AA21AE"/>
    <w:rsid w:val="00AA70DD"/>
    <w:rsid w:val="00AC7565"/>
    <w:rsid w:val="00B1171A"/>
    <w:rsid w:val="00B17793"/>
    <w:rsid w:val="00B27B6A"/>
    <w:rsid w:val="00B27F38"/>
    <w:rsid w:val="00B3019A"/>
    <w:rsid w:val="00B415B4"/>
    <w:rsid w:val="00B62830"/>
    <w:rsid w:val="00B96599"/>
    <w:rsid w:val="00BB2384"/>
    <w:rsid w:val="00BB5DEC"/>
    <w:rsid w:val="00BB60F4"/>
    <w:rsid w:val="00BC1A21"/>
    <w:rsid w:val="00BE2C01"/>
    <w:rsid w:val="00C07951"/>
    <w:rsid w:val="00C667B9"/>
    <w:rsid w:val="00C92C31"/>
    <w:rsid w:val="00CA531F"/>
    <w:rsid w:val="00CD6A10"/>
    <w:rsid w:val="00CE351C"/>
    <w:rsid w:val="00CE4434"/>
    <w:rsid w:val="00CE7578"/>
    <w:rsid w:val="00CF0BE2"/>
    <w:rsid w:val="00CF1469"/>
    <w:rsid w:val="00D323E9"/>
    <w:rsid w:val="00D45F1E"/>
    <w:rsid w:val="00D4744F"/>
    <w:rsid w:val="00D5402A"/>
    <w:rsid w:val="00D65A8A"/>
    <w:rsid w:val="00D8771B"/>
    <w:rsid w:val="00D879B8"/>
    <w:rsid w:val="00D909F4"/>
    <w:rsid w:val="00DD253B"/>
    <w:rsid w:val="00DE0533"/>
    <w:rsid w:val="00DE70CE"/>
    <w:rsid w:val="00DE7A43"/>
    <w:rsid w:val="00E05E22"/>
    <w:rsid w:val="00E06094"/>
    <w:rsid w:val="00E1073B"/>
    <w:rsid w:val="00E14D02"/>
    <w:rsid w:val="00E26687"/>
    <w:rsid w:val="00E27024"/>
    <w:rsid w:val="00E33B33"/>
    <w:rsid w:val="00E4315C"/>
    <w:rsid w:val="00E45B83"/>
    <w:rsid w:val="00E754F9"/>
    <w:rsid w:val="00EA00F4"/>
    <w:rsid w:val="00EC2F54"/>
    <w:rsid w:val="00EE0D37"/>
    <w:rsid w:val="00F624A5"/>
    <w:rsid w:val="00F842A0"/>
    <w:rsid w:val="00F91EC3"/>
    <w:rsid w:val="00F94311"/>
    <w:rsid w:val="00F96BB3"/>
    <w:rsid w:val="00FA1B27"/>
    <w:rsid w:val="00FB3133"/>
    <w:rsid w:val="00FD02C8"/>
    <w:rsid w:val="00FD79AD"/>
    <w:rsid w:val="00FE7BE7"/>
    <w:rsid w:val="02151639"/>
    <w:rsid w:val="04975C2D"/>
    <w:rsid w:val="07555669"/>
    <w:rsid w:val="0802440D"/>
    <w:rsid w:val="093F4C63"/>
    <w:rsid w:val="0E411689"/>
    <w:rsid w:val="0F14245D"/>
    <w:rsid w:val="0F8508A9"/>
    <w:rsid w:val="126F551E"/>
    <w:rsid w:val="134578A4"/>
    <w:rsid w:val="17884627"/>
    <w:rsid w:val="17CE34D9"/>
    <w:rsid w:val="193B167B"/>
    <w:rsid w:val="19FB12AF"/>
    <w:rsid w:val="1FB042F7"/>
    <w:rsid w:val="252437BD"/>
    <w:rsid w:val="2FA35A4E"/>
    <w:rsid w:val="2FFE4D66"/>
    <w:rsid w:val="340F5890"/>
    <w:rsid w:val="36767BF1"/>
    <w:rsid w:val="37351F61"/>
    <w:rsid w:val="3E151A9D"/>
    <w:rsid w:val="3E5325C6"/>
    <w:rsid w:val="3F454974"/>
    <w:rsid w:val="3F8F3AD1"/>
    <w:rsid w:val="407652CD"/>
    <w:rsid w:val="417119AC"/>
    <w:rsid w:val="461C543C"/>
    <w:rsid w:val="488305A7"/>
    <w:rsid w:val="4F692E08"/>
    <w:rsid w:val="53380854"/>
    <w:rsid w:val="5ECF3B18"/>
    <w:rsid w:val="623F386D"/>
    <w:rsid w:val="63A3584A"/>
    <w:rsid w:val="642042F6"/>
    <w:rsid w:val="6441747F"/>
    <w:rsid w:val="6DDC5565"/>
    <w:rsid w:val="6E7D2BC3"/>
    <w:rsid w:val="6FB45402"/>
    <w:rsid w:val="700E7D6E"/>
    <w:rsid w:val="73EC58C6"/>
    <w:rsid w:val="73F83F27"/>
    <w:rsid w:val="772E6F81"/>
    <w:rsid w:val="77C547BF"/>
    <w:rsid w:val="78DD0E2E"/>
    <w:rsid w:val="78DE2439"/>
    <w:rsid w:val="7B783090"/>
    <w:rsid w:val="7D706372"/>
    <w:rsid w:val="7DA1427D"/>
    <w:rsid w:val="7E1626EC"/>
    <w:rsid w:val="7E296106"/>
    <w:rsid w:val="7ECF17F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autoRedefine/>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0"/>
    <w:autoRedefine/>
    <w:semiHidden/>
    <w:qFormat/>
    <w:uiPriority w:val="99"/>
    <w:pPr>
      <w:jc w:val="left"/>
    </w:pPr>
  </w:style>
  <w:style w:type="paragraph" w:styleId="3">
    <w:name w:val="Balloon Text"/>
    <w:basedOn w:val="1"/>
    <w:link w:val="11"/>
    <w:autoRedefine/>
    <w:semiHidden/>
    <w:qFormat/>
    <w:uiPriority w:val="99"/>
    <w:rPr>
      <w:sz w:val="18"/>
      <w:szCs w:val="18"/>
    </w:rPr>
  </w:style>
  <w:style w:type="paragraph" w:styleId="4">
    <w:name w:val="footer"/>
    <w:basedOn w:val="1"/>
    <w:link w:val="12"/>
    <w:autoRedefine/>
    <w:qFormat/>
    <w:uiPriority w:val="99"/>
    <w:pPr>
      <w:tabs>
        <w:tab w:val="center" w:pos="4153"/>
        <w:tab w:val="right" w:pos="8306"/>
      </w:tabs>
      <w:snapToGrid w:val="0"/>
      <w:jc w:val="left"/>
    </w:pPr>
    <w:rPr>
      <w:sz w:val="18"/>
      <w:szCs w:val="18"/>
    </w:rPr>
  </w:style>
  <w:style w:type="paragraph" w:styleId="5">
    <w:name w:val="header"/>
    <w:basedOn w:val="1"/>
    <w:link w:val="13"/>
    <w:autoRedefine/>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4"/>
    <w:autoRedefine/>
    <w:semiHidden/>
    <w:qFormat/>
    <w:uiPriority w:val="99"/>
    <w:rPr>
      <w:b/>
      <w:bCs/>
    </w:rPr>
  </w:style>
  <w:style w:type="character" w:styleId="9">
    <w:name w:val="annotation reference"/>
    <w:basedOn w:val="8"/>
    <w:autoRedefine/>
    <w:semiHidden/>
    <w:qFormat/>
    <w:uiPriority w:val="99"/>
    <w:rPr>
      <w:rFonts w:cs="Times New Roman"/>
      <w:sz w:val="21"/>
      <w:szCs w:val="21"/>
    </w:rPr>
  </w:style>
  <w:style w:type="character" w:customStyle="1" w:styleId="10">
    <w:name w:val="批注文字 字符"/>
    <w:basedOn w:val="8"/>
    <w:link w:val="2"/>
    <w:autoRedefine/>
    <w:semiHidden/>
    <w:qFormat/>
    <w:locked/>
    <w:uiPriority w:val="99"/>
    <w:rPr>
      <w:rFonts w:cs="Times New Roman"/>
      <w:kern w:val="2"/>
      <w:sz w:val="22"/>
      <w:szCs w:val="22"/>
    </w:rPr>
  </w:style>
  <w:style w:type="character" w:customStyle="1" w:styleId="11">
    <w:name w:val="批注框文本 字符"/>
    <w:basedOn w:val="8"/>
    <w:link w:val="3"/>
    <w:autoRedefine/>
    <w:semiHidden/>
    <w:qFormat/>
    <w:locked/>
    <w:uiPriority w:val="99"/>
    <w:rPr>
      <w:rFonts w:cs="Times New Roman"/>
      <w:kern w:val="2"/>
      <w:sz w:val="18"/>
      <w:szCs w:val="18"/>
    </w:rPr>
  </w:style>
  <w:style w:type="character" w:customStyle="1" w:styleId="12">
    <w:name w:val="页脚 字符"/>
    <w:basedOn w:val="8"/>
    <w:link w:val="4"/>
    <w:autoRedefine/>
    <w:qFormat/>
    <w:locked/>
    <w:uiPriority w:val="99"/>
    <w:rPr>
      <w:rFonts w:cs="Times New Roman"/>
      <w:sz w:val="18"/>
      <w:szCs w:val="18"/>
    </w:rPr>
  </w:style>
  <w:style w:type="character" w:customStyle="1" w:styleId="13">
    <w:name w:val="页眉 字符"/>
    <w:basedOn w:val="8"/>
    <w:link w:val="5"/>
    <w:autoRedefine/>
    <w:qFormat/>
    <w:locked/>
    <w:uiPriority w:val="99"/>
    <w:rPr>
      <w:rFonts w:cs="Times New Roman"/>
      <w:sz w:val="18"/>
      <w:szCs w:val="18"/>
    </w:rPr>
  </w:style>
  <w:style w:type="character" w:customStyle="1" w:styleId="14">
    <w:name w:val="批注主题 字符"/>
    <w:basedOn w:val="10"/>
    <w:link w:val="6"/>
    <w:autoRedefine/>
    <w:semiHidden/>
    <w:qFormat/>
    <w:locked/>
    <w:uiPriority w:val="99"/>
    <w:rPr>
      <w:rFonts w:cs="Times New Roman"/>
      <w:b/>
      <w:bCs/>
      <w:kern w:val="2"/>
      <w:sz w:val="22"/>
      <w:szCs w:val="22"/>
    </w:rPr>
  </w:style>
  <w:style w:type="paragraph" w:styleId="15">
    <w:name w:val="List Paragraph"/>
    <w:basedOn w:val="1"/>
    <w:autoRedefine/>
    <w:qFormat/>
    <w:uiPriority w:val="99"/>
    <w:pPr>
      <w:ind w:firstLine="420" w:firstLineChars="200"/>
    </w:pPr>
  </w:style>
  <w:style w:type="character" w:customStyle="1" w:styleId="16">
    <w:name w:val="NormalCharacter"/>
    <w:autoRedefine/>
    <w:semiHidden/>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3C3C41"/>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Home</Company>
  <Pages>2</Pages>
  <Words>1885</Words>
  <Characters>2144</Characters>
  <Lines>15</Lines>
  <Paragraphs>4</Paragraphs>
  <TotalTime>90</TotalTime>
  <ScaleCrop>false</ScaleCrop>
  <LinksUpToDate>false</LinksUpToDate>
  <CharactersWithSpaces>2158</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2023-06-02T01:39:00Z</dcterms:created>
  <dc:creator>肖红</dc:creator>
  <cp:lastModifiedBy>沫、若微笑</cp:lastModifiedBy>
  <cp:lastPrinted>2022-04-14T00:23:00Z</cp:lastPrinted>
  <dcterms:modified xsi:type="dcterms:W3CDTF">2024-07-09T02:12:01Z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91D0A170DCE843ABBAE378FBF5922CFD</vt:lpwstr>
  </property>
</Properties>
</file>