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520" w:lineRule="exact"/>
        <w:jc w:val="center"/>
        <w:rPr>
          <w:rFonts w:hint="eastAsia" w:ascii="黑体" w:hAnsi="黑体" w:eastAsia="黑体" w:cs="黑体"/>
          <w:color w:val="auto"/>
          <w:kern w:val="0"/>
          <w:sz w:val="28"/>
          <w:szCs w:val="28"/>
          <w:lang w:val="zh-CN" w:bidi="ar"/>
        </w:rPr>
      </w:pPr>
      <w:r>
        <w:rPr>
          <w:rFonts w:hint="eastAsia" w:ascii="微软雅黑" w:hAnsi="微软雅黑" w:eastAsia="微软雅黑" w:cs="微软雅黑"/>
          <w:color w:val="auto"/>
          <w:kern w:val="0"/>
          <w:sz w:val="32"/>
          <w:szCs w:val="32"/>
          <w:lang w:eastAsia="zh-CN" w:bidi="ar"/>
        </w:rPr>
        <w:t>项目需求</w:t>
      </w: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、招标项目概况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安庆市蝇类本本底调查；安庆市野生鼠类种群多样性本底调查；安庆市登革热伊蚊集中采集。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（二）项目经费：</w:t>
      </w:r>
      <w:r>
        <w:rPr>
          <w:rFonts w:hint="eastAsia" w:ascii="仿宋" w:hAnsi="仿宋" w:eastAsia="仿宋" w:cs="仿宋"/>
          <w:color w:val="auto"/>
          <w:sz w:val="32"/>
          <w:szCs w:val="32"/>
          <w:lang w:eastAsia="zh-CN"/>
        </w:rPr>
        <w:t>拾</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元</w:t>
      </w:r>
      <w:r>
        <w:rPr>
          <w:rFonts w:hint="eastAsia" w:ascii="仿宋" w:hAnsi="仿宋" w:eastAsia="仿宋" w:cs="仿宋"/>
          <w:color w:val="auto"/>
          <w:sz w:val="32"/>
          <w:szCs w:val="32"/>
        </w:rPr>
        <w:t>（包括所有监测活动经费</w:t>
      </w:r>
      <w:r>
        <w:rPr>
          <w:rFonts w:hint="eastAsia" w:ascii="仿宋" w:hAnsi="仿宋" w:eastAsia="仿宋" w:cs="仿宋"/>
          <w:color w:val="auto"/>
          <w:sz w:val="32"/>
          <w:szCs w:val="32"/>
          <w:lang w:eastAsia="zh-CN"/>
        </w:rPr>
        <w:t>、车辆使用等费用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经费来源：2024 年中央补助病媒生物监测项目</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项目类别：</w:t>
      </w:r>
      <w:r>
        <w:rPr>
          <w:rFonts w:hint="eastAsia" w:ascii="仿宋" w:hAnsi="仿宋" w:eastAsia="仿宋" w:cs="仿宋"/>
          <w:color w:val="auto"/>
          <w:sz w:val="32"/>
          <w:szCs w:val="32"/>
          <w:lang w:eastAsia="zh-CN"/>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包别划分：一包，以包报价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最高限价：</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、项目需求及参数要求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详见相关技术参数要求及附件《安庆市蝇类本本底调查方案》；《安庆市野生鼠类种群多样性本底调查方案》。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三、报价人要求</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符合《中华人民共和国政府采购法》第二十二条规定</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投标人具备有效的有害生物防制服务相关条件能力与资质</w:t>
      </w:r>
      <w:r>
        <w:rPr>
          <w:rFonts w:hint="eastAsia" w:ascii="仿宋" w:hAnsi="仿宋" w:eastAsia="仿宋" w:cs="仿宋"/>
          <w:color w:val="auto"/>
          <w:sz w:val="32"/>
          <w:szCs w:val="32"/>
          <w:highlight w:val="none"/>
          <w:lang w:val="en-US" w:eastAsia="zh-CN"/>
        </w:rPr>
        <w:t>，具有良好的上下沟通与协调能力；</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3、应具备生态学解刨相关能力及运输与保存设备，并符合实验室生物安全等相关要求（提供相关案例）；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lang w:val="en-US" w:eastAsia="zh-CN" w:bidi="zh-CN"/>
        </w:rPr>
      </w:pPr>
      <w:r>
        <w:rPr>
          <w:rFonts w:hint="eastAsia"/>
          <w:color w:val="auto"/>
          <w:sz w:val="30"/>
          <w:szCs w:val="30"/>
          <w:lang w:val="en-US" w:eastAsia="zh-CN"/>
        </w:rPr>
        <w:t>4、</w:t>
      </w:r>
      <w:r>
        <w:rPr>
          <w:rFonts w:hint="eastAsia" w:ascii="仿宋" w:hAnsi="仿宋" w:eastAsia="仿宋" w:cs="仿宋"/>
          <w:color w:val="auto"/>
          <w:sz w:val="30"/>
          <w:szCs w:val="30"/>
          <w:lang w:val="en-US" w:eastAsia="zh-CN" w:bidi="zh-CN"/>
        </w:rPr>
        <w:t>项目经理和项目人员需提供有害生物防制资质与能力证明；本项目因有科研性质，至少有一名经验丰富中、高级专业技术人员负责带教；本项目监测人员不少于四人；投标人需提供项目人员和项目经理有害生物防制资质等级证书复印件，提供车辆行驶证复印件；样品保存工具；鼠类、蚊类、蝇类采样设备证明。</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val="en-US" w:eastAsia="zh-CN" w:bidi="zh-CN"/>
        </w:rPr>
        <w:t>5、</w:t>
      </w:r>
      <w:r>
        <w:rPr>
          <w:rFonts w:hint="eastAsia" w:ascii="仿宋" w:hAnsi="仿宋" w:eastAsia="仿宋" w:cs="仿宋"/>
          <w:color w:val="auto"/>
          <w:sz w:val="32"/>
          <w:szCs w:val="32"/>
          <w:vertAlign w:val="baseline"/>
          <w:lang w:val="en-US" w:eastAsia="zh-CN"/>
        </w:rPr>
        <w:t>具有</w:t>
      </w:r>
      <w:bookmarkStart w:id="0" w:name="_GoBack"/>
      <w:bookmarkEnd w:id="0"/>
      <w:r>
        <w:rPr>
          <w:rFonts w:hint="eastAsia" w:ascii="仿宋" w:hAnsi="仿宋" w:eastAsia="仿宋" w:cs="仿宋"/>
          <w:color w:val="auto"/>
          <w:sz w:val="32"/>
          <w:szCs w:val="32"/>
          <w:vertAlign w:val="baseline"/>
          <w:lang w:val="en-US" w:eastAsia="zh-CN"/>
        </w:rPr>
        <w:t>全国病媒生物生态学（鼠类）监测业绩和病媒生物监测业绩，不少于2种；需提供中标通知书及合同，每个城市不得重复。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供应商不得低于市场价格恶意竞标，竞价小组认为投标人的报价明显低于其他通过符合性审查投标人的报价，有可能影响服务质量或者不能诚信履约的，经过询标，供应商应在评标现场合理的时间内（30分钟）提供书面说明，必要时提交相关证明材料；投标人不能证明其报价合理性的，竞价小组应当将其作为无效投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 w:val="44"/>
          <w:szCs w:val="44"/>
          <w:lang w:eastAsia="zh-CN"/>
        </w:rPr>
      </w:pPr>
      <w:r>
        <w:rPr>
          <w:rFonts w:hint="eastAsia" w:ascii="仿宋" w:hAnsi="仿宋" w:eastAsia="仿宋" w:cs="仿宋"/>
          <w:b w:val="0"/>
          <w:bCs w:val="0"/>
          <w:color w:val="auto"/>
          <w:sz w:val="32"/>
          <w:szCs w:val="32"/>
          <w:lang w:val="en-US" w:eastAsia="zh-CN"/>
        </w:rPr>
        <w:t>7、供应商应该提</w:t>
      </w:r>
      <w:r>
        <w:rPr>
          <w:rFonts w:hint="eastAsia" w:ascii="仿宋" w:hAnsi="仿宋" w:eastAsia="仿宋" w:cs="仿宋"/>
          <w:b w:val="0"/>
          <w:bCs w:val="0"/>
          <w:color w:val="auto"/>
          <w:kern w:val="2"/>
          <w:sz w:val="32"/>
          <w:szCs w:val="32"/>
          <w:lang w:val="en-US" w:eastAsia="zh-CN" w:bidi="ar-SA"/>
        </w:rPr>
        <w:t>供服务方案，提供技术方案描述详细、科学全面、完整清晰，完全响应了上述内容的；方案中需提供详细的进度保障措施，内容包括：设计进度工作量及计划安排、时间节点进度分解、进度保证措施的承诺；</w:t>
      </w:r>
    </w:p>
    <w:p>
      <w:pPr>
        <w:pStyle w:val="8"/>
        <w:ind w:left="0" w:leftChars="0" w:firstLine="0" w:firstLineChars="0"/>
        <w:rPr>
          <w:rFonts w:hint="eastAsia"/>
          <w:color w:val="auto"/>
        </w:rPr>
      </w:pP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安庆市蝇类本本底调查方案</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安庆市野生鼠类种群多样性本底调查方案</w:t>
      </w:r>
    </w:p>
    <w:p>
      <w:pPr>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lang w:eastAsia="zh-CN"/>
        </w:rPr>
        <w:t>安庆市登革热媒介伊蚊标本收集方案</w:t>
      </w:r>
    </w:p>
    <w:p>
      <w:pPr>
        <w:pStyle w:val="7"/>
        <w:ind w:left="0" w:leftChars="0" w:firstLine="0" w:firstLineChars="0"/>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附件一、</w:t>
      </w:r>
    </w:p>
    <w:p>
      <w:pPr>
        <w:jc w:val="center"/>
        <w:rPr>
          <w:rFonts w:hint="eastAsia"/>
          <w:color w:val="auto"/>
          <w:sz w:val="44"/>
          <w:szCs w:val="44"/>
        </w:rPr>
      </w:pPr>
      <w:r>
        <w:rPr>
          <w:rFonts w:hint="eastAsia"/>
          <w:color w:val="auto"/>
          <w:sz w:val="44"/>
          <w:szCs w:val="44"/>
          <w:lang w:eastAsia="zh-CN"/>
        </w:rPr>
        <w:t>安庆市</w:t>
      </w:r>
      <w:r>
        <w:rPr>
          <w:rFonts w:hint="eastAsia"/>
          <w:color w:val="auto"/>
          <w:sz w:val="44"/>
          <w:szCs w:val="44"/>
        </w:rPr>
        <w:t>蝇类本底调查方案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蝇类隶属于动物界(Animalia)、节肢动物门(Arthropoda)、昆虫纲 （Insecta）、 双翅目 （Diptera）、 环 裂 亚 目（Cyclorrhapha），在世界范围内的分布十分广泛，目前我国已知的蝇类大约有 5000 多种。蝇类是重要的病媒生物，病媒生物种群动态监测是媒介性生物传染病风险评估、预测预警及科学防控的前提和基础。蝇类有有瓣蝇类和无瓣蝇类之分，但是与人类的关系最密切，具有传播疾病能力的蝇类基本上都属于有瓣蝇类。蝇类传播疾病通常分为机械传播和生物传播，其中以机械性传播为主；同时，蝇类在取食时边吃、边吐、边排便的摄食习性，可将其携带的病原体污染水、食物、用具等物体表面，从而造成人类的感染。这种特性导致它可以携带多种病原体，蝇类携带的病原体包括细菌、真菌、病毒、寄生虫等，蝇类携带和机械性传播的病原体中最主要的是细菌，有研究证明蝇类能携带的细菌约 100 多种，病毒约 30 种。蝇类可以传播多种疾病，其中容易传播的疾病是消化道疾病，另外也可以传播眼病、皮肤病等。有些蝇类的幼虫还可以寄生到人体内的眼、鼻孔、皮肤、伤口和胃肠道等多个部位，从而引起蝇蛆病。不仅如此，蝇类的整个生长周期非常快，这也增强了它们传播病原体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大别山为长江与淮河水系的分水岭，位于豫、鄂、皖 3 省边境。安徽省大别山区主要分布在六安市和安庆市境内，属亚热带季风气候区，亦具有典型的山地气候，气候湿润，雨量充沛；优越的地理环境和气候条件适宜蝇类和细菌的孳生，然而目前关于大别山安徽区蝇类构成及携带致病菌情况的报道较少，因此亟需加强对该区蝇类分布及其携带致病菌情况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工作旨在掌握安徽省大别山区蝇类种群构成、夏秋季蝇密度和生境分布等基本情况；针对捕获的常见蝇种开展病原体研究，对比常见蝇种携带肠道致病菌和病毒情况的差异，为控制蝇类及蝇类相关传染病提供科学依据。通过对当地蝇类种类、数量和分布情况的系统调查，可以更全面地了解该地区蝇类生态系统的特点和现状。此外，蝇类本底调查也有助于加强对当地生物多样性的认识，为保护当地生态环境提供科学支持。同时，通过对蝇类携带的肠道致病菌筛选工作，我们可以更好地了解当地蝇类携带的肠道致病菌种类和数量，有助于预防和控制相关疾病的传播。这项工作还能为卫生防疫工作提供科学依据，指导相关部门制定针对性的防控措施，保障当地居民的健康和安全。因此，开展这一调查与筛选工作对于提高环境卫生水平、保障居民健康和促进可持续发展具有深远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3.样本采集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采集时间：2024 年 7 月~10 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采集地点：岳西县、潜山县、宿松县、太湖县、望江县、桐城市、怀宁县，每个监测县（区）选取 3 个镇（乡）；各镇（乡）选取农贸集市、餐饮外环境、绿化带、居民区各放置捕蝇笼 2 笼，野外环境（山地、水体）放置捕蝇笼 10 笼，每个镇捕获蝇总数不得少于 300 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以笼诱法为主，结合网捕法进行采样。捕蝇笼悬挂放置，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每个捕蝇笼诱饵盘内放置诱饵。每次监测一个白天，于第一天9:00前布放，第二天 9:00左右收回，或晨放晚收，挂笼时间不少于 9 小时。收笼后，用乙醚或氯仿杀死后分类，统计各蝇种的数量。记录监测当天的天气情况(气温、湿度、风力)。诱饵选择：糖醋饵（红糖 50 g+食醋 50 ml+水 50 ml）</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4.监测要求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公共卫生和疾病预防领域，蝇类监测是一项重要的工作。为了有效进行这项工作县级疾控的积极参与和协调。，确保监测工作能够覆盖到各个关键区域。人居环境主要包括农贸集市、餐饮外环境、绿化带、居民区；野外环境主要包括山地及大型水体边。各监测点需准确记录经纬度，做好各监测点位信息登记及标本编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调查经费从 2024年中央补助病媒生物监测项目列支。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jc w:val="center"/>
        <w:rPr>
          <w:rFonts w:hint="eastAsia"/>
          <w:b/>
          <w:bCs/>
          <w:color w:val="auto"/>
          <w:sz w:val="44"/>
          <w:szCs w:val="44"/>
          <w:lang w:eastAsia="zh-CN"/>
        </w:rPr>
      </w:pPr>
    </w:p>
    <w:p>
      <w:pPr>
        <w:jc w:val="center"/>
        <w:rPr>
          <w:rFonts w:hint="eastAsia"/>
          <w:b/>
          <w:bCs/>
          <w:color w:val="auto"/>
          <w:sz w:val="44"/>
          <w:szCs w:val="44"/>
          <w:lang w:eastAsia="zh-CN"/>
        </w:rPr>
      </w:pPr>
    </w:p>
    <w:p>
      <w:pPr>
        <w:jc w:val="center"/>
        <w:rPr>
          <w:rFonts w:hint="eastAsia"/>
          <w:b/>
          <w:bCs/>
          <w:color w:val="auto"/>
          <w:sz w:val="44"/>
          <w:szCs w:val="44"/>
          <w:lang w:eastAsia="zh-CN"/>
        </w:rPr>
      </w:pPr>
    </w:p>
    <w:p>
      <w:pPr>
        <w:pStyle w:val="2"/>
        <w:rPr>
          <w:rFonts w:hint="eastAsia"/>
          <w:color w:val="auto"/>
          <w:lang w:val="en-US" w:eastAsia="zh-CN"/>
        </w:rPr>
      </w:pPr>
      <w:r>
        <w:rPr>
          <w:rFonts w:hint="eastAsia"/>
          <w:color w:val="auto"/>
          <w:lang w:val="en-US" w:eastAsia="zh-CN"/>
        </w:rPr>
        <w:t>件二</w:t>
      </w:r>
    </w:p>
    <w:p>
      <w:pPr>
        <w:jc w:val="center"/>
        <w:rPr>
          <w:rFonts w:hint="eastAsia"/>
          <w:b/>
          <w:bCs/>
          <w:color w:val="auto"/>
          <w:sz w:val="44"/>
          <w:szCs w:val="44"/>
          <w:lang w:eastAsia="zh-CN"/>
        </w:rPr>
      </w:pPr>
    </w:p>
    <w:p>
      <w:pPr>
        <w:jc w:val="center"/>
        <w:rPr>
          <w:rFonts w:hint="eastAsia"/>
          <w:b/>
          <w:bCs/>
          <w:color w:val="auto"/>
          <w:sz w:val="44"/>
          <w:szCs w:val="44"/>
        </w:rPr>
      </w:pPr>
      <w:r>
        <w:rPr>
          <w:rFonts w:hint="eastAsia"/>
          <w:b/>
          <w:bCs/>
          <w:color w:val="auto"/>
          <w:sz w:val="44"/>
          <w:szCs w:val="44"/>
          <w:lang w:eastAsia="zh-CN"/>
        </w:rPr>
        <w:t>安庆市</w:t>
      </w:r>
      <w:r>
        <w:rPr>
          <w:rFonts w:hint="eastAsia"/>
          <w:b/>
          <w:bCs/>
          <w:color w:val="auto"/>
          <w:sz w:val="44"/>
          <w:szCs w:val="44"/>
        </w:rPr>
        <w:t>野生鼠类种群多样性本底调查方案</w:t>
      </w:r>
    </w:p>
    <w:p>
      <w:pPr>
        <w:jc w:val="center"/>
        <w:rPr>
          <w:rFonts w:hint="eastAsia"/>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鼠类能传播160余种人兽共患传染病，被列为“四害”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之首。在我国法定报告的41种传染病中有1/5以上与鼠有关（贮存宿主或直接传播），常见鼠传疾病包括鼠疫（鼠、蚤）、流行性出血热（鼠、蜱）、发热伴血小板减少综合征、斑疹伤寒、血吸虫病、包虫病、狂犬病、钩端螺旋体病等，另外还有恙虫病、鼠伤寒、蜱性回归热、森林脑炎、野兔热等。鼠密度是反映人居环境公共卫生水平的重要生物学指标，是评价山区农村村容村貌的基础性指标，山林鼠类多样性也是反映山地生态系统物种多样性的重要基础数据。因此，开展安徽省大别山区鼠类多样性本底及鼠病原学研究，对了解安徽省鼠类地理区系和鼠传疾病分布，科学开展鼠媒传染病预防和控制具有重要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1.生境选择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采集地点：岳西县、潜山县、宿松县、太湖县、望江县、桐城市、怀宁县，每个监测县（区）选取 3 个镇（乡）夹夜法的监测中每个乡镇监测点设农田、林地2种类型的监测生境各2个。各地可根据本地鼠传疾病流行情况和本地条件增加河流、湖泊、荒地等其他生境。农田生境淮河以南地区应兼顾水田和旱田，淮河以北地区应选择不少于两种农作物生境；林地生境有山地区尽可能选择不同海拔高度的山林，无林地区可选择农田边小树林或用农田、山地、湿地（水库、河流）、荒地等生境补齐。监测点应覆盖安庆市的所有县区</w:t>
      </w:r>
      <w:r>
        <w:rPr>
          <w:rFonts w:hint="eastAsia" w:ascii="仿宋" w:hAnsi="仿宋" w:eastAsia="仿宋" w:cs="仿宋"/>
          <w:color w:val="auto"/>
          <w:sz w:val="32"/>
          <w:szCs w:val="32"/>
          <w:lang w:eastAsia="zh-CN"/>
        </w:rPr>
        <w:t>，监</w:t>
      </w:r>
      <w:r>
        <w:rPr>
          <w:rFonts w:hint="eastAsia" w:ascii="仿宋" w:hAnsi="仿宋" w:eastAsia="仿宋" w:cs="仿宋"/>
          <w:color w:val="auto"/>
          <w:sz w:val="32"/>
          <w:szCs w:val="32"/>
        </w:rPr>
        <w:t>测点（可结合蝇类调查），原则上须采用夹夜法。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2.调查时间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鼠生态学及野生鼠类种群本底调查，定于2024年7月至2025年7月，尽量集中在夏秋季进行，避免冬季低密度期。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3.监测方法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统一选用质量可靠稳定的中型钢板夹，以各地便于获得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的材料为诱饵长期使用，晚放晨收。农田、林地沿直线或沿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田埂、沟渠等自然地形每 5m 布放 1 只，行间距不少于 50m。每一监测乡镇监测生境布夹累计不少于 300 有效夹夜。捕获鼠类后，进行鼠种鉴定、并同时记录性别等信息，逐只鼠类登记并顺序编号，每年监测地区内序号不得重复。鼠样统一编号规则：AH+（市拼音首字母大写）+（区县首字母大写）+R+年度（后两位）+三位数字（市统一排序），例如安庆市采自岳西县包家乡的1号鼠样品编号为：AHAQYXBJ-R24-001。鼠尸不完整而无法鉴定种类的，填入其它并在记录表中备注中注明。填写记录表见表 1-1 和汇总表见表 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4.统计与计算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（1）夹(笼)夜法鼠密度以每百只鼠夹（笼）捕获鼠数量，即捕获率表示，计算公式如下：</w:t>
      </w:r>
    </w:p>
    <w:p>
      <w:pPr>
        <w:autoSpaceDE w:val="0"/>
        <w:autoSpaceDN w:val="0"/>
        <w:adjustRightInd w:val="0"/>
        <w:spacing w:line="360" w:lineRule="auto"/>
        <w:jc w:val="center"/>
        <w:rPr>
          <w:rFonts w:hint="eastAsia" w:ascii="仿宋" w:hAnsi="仿宋" w:eastAsia="仿宋" w:cs="仿宋"/>
          <w:color w:val="auto"/>
          <w:kern w:val="44"/>
          <w:sz w:val="32"/>
          <w:szCs w:val="32"/>
        </w:rPr>
      </w:pPr>
      <w:r>
        <w:rPr>
          <w:rFonts w:hint="eastAsia" w:ascii="仿宋" w:hAnsi="仿宋" w:eastAsia="仿宋" w:cs="仿宋"/>
          <w:color w:val="auto"/>
          <w:kern w:val="44"/>
          <w:position w:val="-28"/>
          <w:sz w:val="32"/>
          <w:szCs w:val="32"/>
        </w:rPr>
        <w:object>
          <v:shape id="_x0000_i1025" o:spt="75" type="#_x0000_t75" style="height:39.55pt;width:241.8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仿宋" w:hAnsi="仿宋" w:eastAsia="仿宋" w:cs="仿宋"/>
          <w:color w:val="auto"/>
          <w:kern w:val="44"/>
          <w:sz w:val="32"/>
          <w:szCs w:val="32"/>
        </w:rPr>
        <w:t>%</w:t>
      </w:r>
    </w:p>
    <w:p>
      <w:pPr>
        <w:autoSpaceDE w:val="0"/>
        <w:autoSpaceDN w:val="0"/>
        <w:adjustRightInd w:val="0"/>
        <w:spacing w:line="500" w:lineRule="exact"/>
        <w:ind w:firstLine="640" w:firstLineChars="200"/>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有效夹(笼)数=布夹(笼)总数-无效夹(笼)数</w:t>
      </w:r>
    </w:p>
    <w:p>
      <w:pPr>
        <w:autoSpaceDE w:val="0"/>
        <w:autoSpaceDN w:val="0"/>
        <w:adjustRightInd w:val="0"/>
        <w:spacing w:line="500" w:lineRule="exact"/>
        <w:ind w:firstLine="640" w:firstLineChars="200"/>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无效夹(笼)是指丢失或不明原因击发的鼠夹(笼)。</w:t>
      </w:r>
    </w:p>
    <w:p>
      <w:pPr>
        <w:autoSpaceDE w:val="0"/>
        <w:autoSpaceDN w:val="0"/>
        <w:adjustRightInd w:val="0"/>
        <w:spacing w:line="500" w:lineRule="exact"/>
        <w:ind w:firstLine="640" w:firstLineChars="200"/>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捕鼠总数是指鼠夹(笼)捕获鼠类的数量总和，鼠夹上夹有完整鼠或鼠头、鼠皮、鼠毛、鼠尾、鼠爪等部分肢体的定为捕到鼠，记入捕鼠总数。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5.鼠标本采集数量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鼠类生态学监测捕获的鼠类标本均全部带回实验室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超低温保存，每个乡镇监测点野生鼠类标本量不少于10只。生态学监测和补充采样采集鼠标本的过程中，应在低温条件下进行鼠标本的收集、运输和分类工作，长期储存应置于超低温冰箱环境中。此项条件作为监测点选择及承担单位考核的重要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6.监测时的个人防护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夹夜法监测鼠密度时，容易和鼠类密切接触。为防治感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染各种鼠传病原体，需要做好个人防护。流行性出血热疫区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监测人员应该按免疫程序接种流行性出血热疫苗。收放鼠夹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和鉴定鼠种时应戴手套和可防止气溶胶吸入的口罩。农田鼠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类监测应穿防蚤袜并喷洒驱避剂。鉴定鼠类标本前需要将所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有标本在密闭容器中用乙醚或氯仿进行麻醉熏蒸 10 分钟左右，防止鼠类体表各种寄生虫逃逸并叮咬。鼠尸体消毒液消毒后深埋或焚烧。接触鼠尸物品经消毒后才可继续使用。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调查经费从2024 年中央补助病媒生物监测项目列支。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rPr>
          <w:rFonts w:hint="default"/>
          <w:color w:val="auto"/>
          <w:lang w:val="en-US" w:eastAsia="zh-CN"/>
        </w:rPr>
      </w:pPr>
    </w:p>
    <w:p>
      <w:pPr>
        <w:rPr>
          <w:rFonts w:hint="default"/>
          <w:color w:val="auto"/>
          <w:lang w:val="en-US" w:eastAsia="zh-CN"/>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left"/>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附件三</w:t>
      </w: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r>
        <w:rPr>
          <w:rFonts w:hint="eastAsia" w:ascii="微软雅黑" w:hAnsi="微软雅黑" w:eastAsia="微软雅黑" w:cs="微软雅黑"/>
          <w:color w:val="auto"/>
          <w:kern w:val="0"/>
          <w:sz w:val="32"/>
          <w:szCs w:val="32"/>
          <w:lang w:eastAsia="zh-CN" w:bidi="ar"/>
        </w:rPr>
        <w:t>安庆市登革热媒介伊蚊标本收集方案</w:t>
      </w:r>
    </w:p>
    <w:p>
      <w:pPr>
        <w:spacing w:line="256" w:lineRule="auto"/>
        <w:rPr>
          <w:rFonts w:ascii="Arial"/>
          <w:color w:val="auto"/>
          <w:sz w:val="21"/>
        </w:rPr>
      </w:pPr>
    </w:p>
    <w:p>
      <w:pPr>
        <w:spacing w:line="257"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2" w:lineRule="auto"/>
        <w:ind w:firstLine="556" w:firstLineChars="200"/>
        <w:textAlignment w:val="baseline"/>
        <w:rPr>
          <w:rFonts w:hint="eastAsia" w:ascii="Arial" w:eastAsia="仿宋"/>
          <w:color w:val="auto"/>
          <w:sz w:val="21"/>
          <w:lang w:eastAsia="zh-CN"/>
        </w:rPr>
      </w:pPr>
      <w:r>
        <w:rPr>
          <w:rFonts w:ascii="仿宋" w:hAnsi="仿宋" w:eastAsia="仿宋" w:cs="仿宋"/>
          <w:color w:val="auto"/>
          <w:spacing w:val="-16"/>
          <w:sz w:val="31"/>
          <w:szCs w:val="31"/>
        </w:rPr>
        <w:t>中国疾控中心</w:t>
      </w:r>
      <w:r>
        <w:rPr>
          <w:rFonts w:ascii="仿宋" w:hAnsi="仿宋" w:eastAsia="仿宋" w:cs="仿宋"/>
          <w:color w:val="auto"/>
          <w:spacing w:val="-62"/>
          <w:sz w:val="31"/>
          <w:szCs w:val="31"/>
        </w:rPr>
        <w:t xml:space="preserve"> </w:t>
      </w:r>
      <w:r>
        <w:rPr>
          <w:rFonts w:ascii="Times New Roman" w:hAnsi="Times New Roman" w:eastAsia="Times New Roman" w:cs="Times New Roman"/>
          <w:color w:val="auto"/>
          <w:spacing w:val="-16"/>
          <w:sz w:val="31"/>
          <w:szCs w:val="31"/>
        </w:rPr>
        <w:t>2014</w:t>
      </w:r>
      <w:r>
        <w:rPr>
          <w:rFonts w:ascii="Times New Roman" w:hAnsi="Times New Roman" w:eastAsia="Times New Roman" w:cs="Times New Roman"/>
          <w:color w:val="auto"/>
          <w:spacing w:val="25"/>
          <w:w w:val="101"/>
          <w:sz w:val="31"/>
          <w:szCs w:val="31"/>
        </w:rPr>
        <w:t xml:space="preserve"> </w:t>
      </w:r>
      <w:r>
        <w:rPr>
          <w:rFonts w:ascii="仿宋" w:hAnsi="仿宋" w:eastAsia="仿宋" w:cs="仿宋"/>
          <w:color w:val="auto"/>
          <w:spacing w:val="-16"/>
          <w:sz w:val="31"/>
          <w:szCs w:val="31"/>
        </w:rPr>
        <w:t>年发布了《登革热媒介伊蚊监测指南》（中</w:t>
      </w:r>
      <w:r>
        <w:rPr>
          <w:rFonts w:ascii="仿宋" w:hAnsi="仿宋" w:eastAsia="仿宋" w:cs="仿宋"/>
          <w:color w:val="auto"/>
          <w:sz w:val="31"/>
          <w:szCs w:val="31"/>
        </w:rPr>
        <w:t xml:space="preserve">  疾控传防发〔</w:t>
      </w:r>
      <w:r>
        <w:rPr>
          <w:rFonts w:ascii="Times New Roman" w:hAnsi="Times New Roman" w:eastAsia="Times New Roman" w:cs="Times New Roman"/>
          <w:color w:val="auto"/>
          <w:sz w:val="31"/>
          <w:szCs w:val="31"/>
        </w:rPr>
        <w:t>2014</w:t>
      </w:r>
      <w:r>
        <w:rPr>
          <w:rFonts w:ascii="仿宋" w:hAnsi="仿宋" w:eastAsia="仿宋" w:cs="仿宋"/>
          <w:color w:val="auto"/>
          <w:sz w:val="31"/>
          <w:szCs w:val="31"/>
        </w:rPr>
        <w:t>〕</w:t>
      </w:r>
      <w:r>
        <w:rPr>
          <w:rFonts w:ascii="Times New Roman" w:hAnsi="Times New Roman" w:eastAsia="Times New Roman" w:cs="Times New Roman"/>
          <w:color w:val="auto"/>
          <w:sz w:val="31"/>
          <w:szCs w:val="31"/>
        </w:rPr>
        <w:t>360</w:t>
      </w:r>
      <w:r>
        <w:rPr>
          <w:rFonts w:ascii="Times New Roman" w:hAnsi="Times New Roman" w:eastAsia="Times New Roman" w:cs="Times New Roman"/>
          <w:color w:val="auto"/>
          <w:spacing w:val="14"/>
          <w:sz w:val="31"/>
          <w:szCs w:val="31"/>
        </w:rPr>
        <w:t xml:space="preserve">  </w:t>
      </w:r>
      <w:r>
        <w:rPr>
          <w:rFonts w:ascii="仿宋" w:hAnsi="仿宋" w:eastAsia="仿宋" w:cs="仿宋"/>
          <w:color w:val="auto"/>
          <w:sz w:val="31"/>
          <w:szCs w:val="31"/>
        </w:rPr>
        <w:t>号</w:t>
      </w:r>
      <w:r>
        <w:rPr>
          <w:rFonts w:ascii="仿宋" w:hAnsi="仿宋" w:eastAsia="仿宋" w:cs="仿宋"/>
          <w:color w:val="auto"/>
          <w:spacing w:val="-86"/>
          <w:w w:val="97"/>
          <w:sz w:val="31"/>
          <w:szCs w:val="31"/>
        </w:rPr>
        <w:t>）（</w:t>
      </w:r>
      <w:r>
        <w:rPr>
          <w:rFonts w:ascii="仿宋" w:hAnsi="仿宋" w:eastAsia="仿宋" w:cs="仿宋"/>
          <w:color w:val="auto"/>
          <w:sz w:val="31"/>
          <w:szCs w:val="31"/>
        </w:rPr>
        <w:t>以下简称指南）。今年登革热疫情</w:t>
      </w:r>
      <w:r>
        <w:rPr>
          <w:rFonts w:ascii="仿宋" w:hAnsi="仿宋" w:eastAsia="仿宋" w:cs="仿宋"/>
          <w:color w:val="auto"/>
          <w:spacing w:val="1"/>
          <w:sz w:val="31"/>
          <w:szCs w:val="31"/>
        </w:rPr>
        <w:t xml:space="preserve"> </w:t>
      </w:r>
      <w:r>
        <w:rPr>
          <w:rFonts w:ascii="仿宋" w:hAnsi="仿宋" w:eastAsia="仿宋" w:cs="仿宋"/>
          <w:color w:val="auto"/>
          <w:spacing w:val="5"/>
          <w:sz w:val="31"/>
          <w:szCs w:val="31"/>
        </w:rPr>
        <w:t>国际形势日趋严峻，我国亦面临输入病例引发多地暴发流行的压</w:t>
      </w:r>
      <w:r>
        <w:rPr>
          <w:rFonts w:ascii="仿宋" w:hAnsi="仿宋" w:eastAsia="仿宋" w:cs="仿宋"/>
          <w:color w:val="auto"/>
          <w:spacing w:val="6"/>
          <w:sz w:val="31"/>
          <w:szCs w:val="31"/>
        </w:rPr>
        <w:t xml:space="preserve"> </w:t>
      </w:r>
      <w:r>
        <w:rPr>
          <w:rFonts w:ascii="仿宋" w:hAnsi="仿宋" w:eastAsia="仿宋" w:cs="仿宋"/>
          <w:color w:val="auto"/>
          <w:spacing w:val="-3"/>
          <w:sz w:val="31"/>
          <w:szCs w:val="31"/>
        </w:rPr>
        <w:t>力。根据指南要求，为更好地了解监测点蚊媒监测能力，</w:t>
      </w:r>
      <w:r>
        <w:rPr>
          <w:rFonts w:ascii="仿宋" w:hAnsi="仿宋" w:eastAsia="仿宋" w:cs="仿宋"/>
          <w:color w:val="auto"/>
          <w:spacing w:val="13"/>
          <w:sz w:val="31"/>
          <w:szCs w:val="31"/>
        </w:rPr>
        <w:t xml:space="preserve"> </w:t>
      </w:r>
      <w:r>
        <w:rPr>
          <w:rFonts w:ascii="仿宋" w:hAnsi="仿宋" w:eastAsia="仿宋" w:cs="仿宋"/>
          <w:color w:val="auto"/>
          <w:spacing w:val="5"/>
          <w:sz w:val="31"/>
          <w:szCs w:val="31"/>
        </w:rPr>
        <w:t xml:space="preserve">提升监测点蚊媒鉴定和监测水平，收集登革热 </w:t>
      </w:r>
      <w:r>
        <w:rPr>
          <w:rFonts w:ascii="仿宋" w:hAnsi="仿宋" w:eastAsia="仿宋" w:cs="仿宋"/>
          <w:color w:val="auto"/>
          <w:spacing w:val="-1"/>
          <w:sz w:val="31"/>
          <w:szCs w:val="31"/>
        </w:rPr>
        <w:t>媒介伊蚊标本每个监测点不少于</w:t>
      </w:r>
      <w:r>
        <w:rPr>
          <w:rFonts w:ascii="仿宋" w:hAnsi="仿宋" w:eastAsia="仿宋" w:cs="仿宋"/>
          <w:color w:val="auto"/>
          <w:spacing w:val="-38"/>
          <w:sz w:val="31"/>
          <w:szCs w:val="31"/>
        </w:rPr>
        <w:t xml:space="preserve"> </w:t>
      </w:r>
      <w:r>
        <w:rPr>
          <w:rFonts w:ascii="Times New Roman" w:hAnsi="Times New Roman" w:eastAsia="Times New Roman" w:cs="Times New Roman"/>
          <w:color w:val="auto"/>
          <w:spacing w:val="-1"/>
          <w:sz w:val="31"/>
          <w:szCs w:val="31"/>
        </w:rPr>
        <w:t>100</w:t>
      </w:r>
      <w:r>
        <w:rPr>
          <w:rFonts w:ascii="Times New Roman" w:hAnsi="Times New Roman" w:eastAsia="Times New Roman" w:cs="Times New Roman"/>
          <w:color w:val="auto"/>
          <w:spacing w:val="21"/>
          <w:w w:val="101"/>
          <w:sz w:val="31"/>
          <w:szCs w:val="31"/>
        </w:rPr>
        <w:t xml:space="preserve"> </w:t>
      </w:r>
      <w:r>
        <w:rPr>
          <w:rFonts w:ascii="仿宋" w:hAnsi="仿宋" w:eastAsia="仿宋" w:cs="仿宋"/>
          <w:color w:val="auto"/>
          <w:spacing w:val="-1"/>
          <w:sz w:val="31"/>
          <w:szCs w:val="31"/>
        </w:rPr>
        <w:t>只</w:t>
      </w:r>
      <w:r>
        <w:rPr>
          <w:rFonts w:hint="eastAsia" w:ascii="仿宋" w:hAnsi="仿宋" w:eastAsia="仿宋" w:cs="仿宋"/>
          <w:color w:val="auto"/>
          <w:spacing w:val="-1"/>
          <w:sz w:val="31"/>
          <w:szCs w:val="31"/>
          <w:lang w:eastAsia="zh-CN"/>
        </w:rPr>
        <w:t>。</w:t>
      </w:r>
    </w:p>
    <w:p>
      <w:pPr>
        <w:spacing w:before="101" w:line="582" w:lineRule="exact"/>
        <w:ind w:firstLine="640" w:firstLineChars="200"/>
        <w:rPr>
          <w:rFonts w:ascii="仿宋" w:hAnsi="仿宋" w:eastAsia="仿宋" w:cs="仿宋"/>
          <w:color w:val="auto"/>
          <w:sz w:val="31"/>
          <w:szCs w:val="31"/>
        </w:rPr>
      </w:pPr>
      <w:r>
        <w:rPr>
          <w:rFonts w:ascii="仿宋" w:hAnsi="仿宋" w:eastAsia="仿宋" w:cs="仿宋"/>
          <w:color w:val="auto"/>
          <w:spacing w:val="5"/>
          <w:position w:val="20"/>
          <w:sz w:val="31"/>
          <w:szCs w:val="31"/>
        </w:rPr>
        <w:t>对双层叠帐法或诱蚊灯法获取标本进行种类鉴定，确定</w:t>
      </w:r>
      <w:r>
        <w:rPr>
          <w:rFonts w:ascii="仿宋" w:hAnsi="仿宋" w:eastAsia="仿宋" w:cs="仿宋"/>
          <w:color w:val="auto"/>
          <w:spacing w:val="4"/>
          <w:position w:val="20"/>
          <w:sz w:val="31"/>
          <w:szCs w:val="31"/>
        </w:rPr>
        <w:t>为白</w:t>
      </w:r>
    </w:p>
    <w:p>
      <w:pPr>
        <w:spacing w:line="221" w:lineRule="auto"/>
        <w:ind w:left="5"/>
        <w:rPr>
          <w:rFonts w:ascii="仿宋" w:hAnsi="仿宋" w:eastAsia="仿宋" w:cs="仿宋"/>
          <w:color w:val="auto"/>
          <w:sz w:val="31"/>
          <w:szCs w:val="31"/>
        </w:rPr>
      </w:pPr>
      <w:r>
        <w:rPr>
          <w:rFonts w:ascii="仿宋" w:hAnsi="仿宋" w:eastAsia="仿宋" w:cs="仿宋"/>
          <w:color w:val="auto"/>
          <w:spacing w:val="5"/>
          <w:sz w:val="31"/>
          <w:szCs w:val="31"/>
        </w:rPr>
        <w:t>纹伊蚊后，分别制作针插标本和</w:t>
      </w:r>
      <w:r>
        <w:rPr>
          <w:rFonts w:ascii="仿宋" w:hAnsi="仿宋" w:eastAsia="仿宋" w:cs="仿宋"/>
          <w:color w:val="auto"/>
          <w:spacing w:val="4"/>
          <w:sz w:val="31"/>
          <w:szCs w:val="31"/>
        </w:rPr>
        <w:t>酒精浸泡标本。</w:t>
      </w:r>
    </w:p>
    <w:p>
      <w:pPr>
        <w:spacing w:before="205" w:line="345" w:lineRule="auto"/>
        <w:ind w:left="2" w:right="2" w:firstLine="551"/>
        <w:rPr>
          <w:rFonts w:ascii="仿宋" w:hAnsi="仿宋" w:eastAsia="仿宋" w:cs="仿宋"/>
          <w:color w:val="auto"/>
          <w:sz w:val="31"/>
          <w:szCs w:val="31"/>
        </w:rPr>
      </w:pPr>
      <w:r>
        <w:rPr>
          <w:rFonts w:ascii="仿宋" w:hAnsi="仿宋" w:eastAsia="仿宋" w:cs="仿宋"/>
          <w:b/>
          <w:bCs/>
          <w:color w:val="auto"/>
          <w:spacing w:val="-2"/>
          <w:sz w:val="31"/>
          <w:szCs w:val="31"/>
        </w:rPr>
        <w:t>针插标本：</w:t>
      </w:r>
      <w:r>
        <w:rPr>
          <w:rFonts w:ascii="仿宋" w:hAnsi="仿宋" w:eastAsia="仿宋" w:cs="仿宋"/>
          <w:color w:val="auto"/>
          <w:spacing w:val="-2"/>
          <w:sz w:val="31"/>
          <w:szCs w:val="31"/>
        </w:rPr>
        <w:t>挑选形态完整的媒介伊蚊雌雄个体，</w:t>
      </w:r>
      <w:r>
        <w:rPr>
          <w:rFonts w:ascii="仿宋" w:hAnsi="仿宋" w:eastAsia="仿宋" w:cs="仿宋"/>
          <w:color w:val="auto"/>
          <w:spacing w:val="99"/>
          <w:sz w:val="31"/>
          <w:szCs w:val="31"/>
        </w:rPr>
        <w:t xml:space="preserve"> </w:t>
      </w:r>
      <w:r>
        <w:rPr>
          <w:rFonts w:ascii="仿宋" w:hAnsi="仿宋" w:eastAsia="仿宋" w:cs="仿宋"/>
          <w:color w:val="auto"/>
          <w:spacing w:val="-2"/>
          <w:sz w:val="31"/>
          <w:szCs w:val="31"/>
        </w:rPr>
        <w:t>分别制作成</w:t>
      </w:r>
      <w:r>
        <w:rPr>
          <w:rFonts w:ascii="仿宋" w:hAnsi="仿宋" w:eastAsia="仿宋" w:cs="仿宋"/>
          <w:color w:val="auto"/>
          <w:sz w:val="31"/>
          <w:szCs w:val="31"/>
        </w:rPr>
        <w:t xml:space="preserve"> </w:t>
      </w:r>
      <w:r>
        <w:rPr>
          <w:rFonts w:ascii="仿宋" w:hAnsi="仿宋" w:eastAsia="仿宋" w:cs="仿宋"/>
          <w:color w:val="auto"/>
          <w:spacing w:val="-1"/>
          <w:sz w:val="31"/>
          <w:szCs w:val="31"/>
        </w:rPr>
        <w:t>针插标本</w:t>
      </w:r>
      <w:r>
        <w:rPr>
          <w:rFonts w:ascii="Calibri" w:hAnsi="Calibri" w:eastAsia="Calibri" w:cs="Calibri"/>
          <w:color w:val="auto"/>
          <w:spacing w:val="-1"/>
          <w:sz w:val="31"/>
          <w:szCs w:val="31"/>
        </w:rPr>
        <w:t>≥10</w:t>
      </w:r>
      <w:r>
        <w:rPr>
          <w:rFonts w:ascii="Calibri" w:hAnsi="Calibri" w:eastAsia="Calibri" w:cs="Calibri"/>
          <w:color w:val="auto"/>
          <w:spacing w:val="33"/>
          <w:sz w:val="31"/>
          <w:szCs w:val="31"/>
        </w:rPr>
        <w:t xml:space="preserve"> </w:t>
      </w:r>
      <w:r>
        <w:rPr>
          <w:rFonts w:ascii="仿宋" w:hAnsi="仿宋" w:eastAsia="仿宋" w:cs="仿宋"/>
          <w:color w:val="auto"/>
          <w:spacing w:val="-1"/>
          <w:sz w:val="31"/>
          <w:szCs w:val="31"/>
        </w:rPr>
        <w:t>只，置入高安全性标本盒中，填写完整的采集标签，</w:t>
      </w:r>
      <w:r>
        <w:rPr>
          <w:rFonts w:ascii="仿宋" w:hAnsi="仿宋" w:eastAsia="仿宋" w:cs="仿宋"/>
          <w:color w:val="auto"/>
          <w:sz w:val="31"/>
          <w:szCs w:val="31"/>
        </w:rPr>
        <w:t xml:space="preserve"> 含采集时间、采集地点（记录到省</w:t>
      </w:r>
      <w:r>
        <w:rPr>
          <w:rFonts w:ascii="Calibri" w:hAnsi="Calibri" w:eastAsia="Calibri" w:cs="Calibri"/>
          <w:color w:val="auto"/>
          <w:sz w:val="31"/>
          <w:szCs w:val="31"/>
        </w:rPr>
        <w:t>/</w:t>
      </w:r>
      <w:r>
        <w:rPr>
          <w:rFonts w:ascii="仿宋" w:hAnsi="仿宋" w:eastAsia="仿宋" w:cs="仿宋"/>
          <w:color w:val="auto"/>
          <w:sz w:val="31"/>
          <w:szCs w:val="31"/>
        </w:rPr>
        <w:t>自治区</w:t>
      </w:r>
      <w:r>
        <w:rPr>
          <w:rFonts w:ascii="Calibri" w:hAnsi="Calibri" w:eastAsia="Calibri" w:cs="Calibri"/>
          <w:color w:val="auto"/>
          <w:sz w:val="31"/>
          <w:szCs w:val="31"/>
        </w:rPr>
        <w:t>/</w:t>
      </w:r>
      <w:r>
        <w:rPr>
          <w:rFonts w:ascii="仿宋" w:hAnsi="仿宋" w:eastAsia="仿宋" w:cs="仿宋"/>
          <w:color w:val="auto"/>
          <w:sz w:val="31"/>
          <w:szCs w:val="31"/>
        </w:rPr>
        <w:t>直辖市</w:t>
      </w:r>
      <w:r>
        <w:rPr>
          <w:rFonts w:ascii="仿宋" w:hAnsi="仿宋" w:eastAsia="仿宋" w:cs="仿宋"/>
          <w:color w:val="auto"/>
          <w:spacing w:val="-56"/>
          <w:sz w:val="31"/>
          <w:szCs w:val="31"/>
        </w:rPr>
        <w:t xml:space="preserve"> </w:t>
      </w:r>
      <w:r>
        <w:rPr>
          <w:rFonts w:ascii="Calibri" w:hAnsi="Calibri" w:eastAsia="Calibri" w:cs="Calibri"/>
          <w:color w:val="auto"/>
          <w:sz w:val="31"/>
          <w:szCs w:val="31"/>
        </w:rPr>
        <w:t>XX</w:t>
      </w:r>
      <w:r>
        <w:rPr>
          <w:rFonts w:ascii="Calibri" w:hAnsi="Calibri" w:eastAsia="Calibri" w:cs="Calibri"/>
          <w:color w:val="auto"/>
          <w:spacing w:val="27"/>
          <w:sz w:val="31"/>
          <w:szCs w:val="31"/>
        </w:rPr>
        <w:t xml:space="preserve"> </w:t>
      </w:r>
      <w:r>
        <w:rPr>
          <w:rFonts w:ascii="仿宋" w:hAnsi="仿宋" w:eastAsia="仿宋" w:cs="仿宋"/>
          <w:color w:val="auto"/>
          <w:sz w:val="31"/>
          <w:szCs w:val="31"/>
        </w:rPr>
        <w:t>地（市）</w:t>
      </w:r>
      <w:r>
        <w:rPr>
          <w:rFonts w:ascii="Calibri" w:hAnsi="Calibri" w:eastAsia="Calibri" w:cs="Calibri"/>
          <w:color w:val="auto"/>
          <w:sz w:val="31"/>
          <w:szCs w:val="31"/>
        </w:rPr>
        <w:t xml:space="preserve">XX  </w:t>
      </w:r>
      <w:r>
        <w:rPr>
          <w:rFonts w:ascii="仿宋" w:hAnsi="仿宋" w:eastAsia="仿宋" w:cs="仿宋"/>
          <w:color w:val="auto"/>
          <w:spacing w:val="-4"/>
          <w:sz w:val="31"/>
          <w:szCs w:val="31"/>
        </w:rPr>
        <w:t>县（区）</w:t>
      </w:r>
      <w:r>
        <w:rPr>
          <w:rFonts w:ascii="Calibri" w:hAnsi="Calibri" w:eastAsia="Calibri" w:cs="Calibri"/>
          <w:color w:val="auto"/>
          <w:spacing w:val="-4"/>
          <w:sz w:val="31"/>
          <w:szCs w:val="31"/>
        </w:rPr>
        <w:t>XX</w:t>
      </w:r>
      <w:r>
        <w:rPr>
          <w:rFonts w:ascii="Calibri" w:hAnsi="Calibri" w:eastAsia="Calibri" w:cs="Calibri"/>
          <w:color w:val="auto"/>
          <w:spacing w:val="67"/>
          <w:sz w:val="31"/>
          <w:szCs w:val="31"/>
        </w:rPr>
        <w:t xml:space="preserve"> </w:t>
      </w:r>
      <w:r>
        <w:rPr>
          <w:rFonts w:ascii="仿宋" w:hAnsi="仿宋" w:eastAsia="仿宋" w:cs="仿宋"/>
          <w:color w:val="auto"/>
          <w:spacing w:val="-4"/>
          <w:sz w:val="31"/>
          <w:szCs w:val="31"/>
        </w:rPr>
        <w:t>乡镇</w:t>
      </w:r>
      <w:r>
        <w:rPr>
          <w:rFonts w:ascii="Calibri" w:hAnsi="Calibri" w:eastAsia="Calibri" w:cs="Calibri"/>
          <w:color w:val="auto"/>
          <w:spacing w:val="-4"/>
          <w:sz w:val="31"/>
          <w:szCs w:val="31"/>
        </w:rPr>
        <w:t>/</w:t>
      </w:r>
      <w:r>
        <w:rPr>
          <w:rFonts w:ascii="仿宋" w:hAnsi="仿宋" w:eastAsia="仿宋" w:cs="仿宋"/>
          <w:color w:val="auto"/>
          <w:spacing w:val="-4"/>
          <w:sz w:val="31"/>
          <w:szCs w:val="31"/>
        </w:rPr>
        <w:t>街道）、采集生境、采集方法、采集人，参考标</w:t>
      </w:r>
    </w:p>
    <w:p>
      <w:pPr>
        <w:spacing w:line="239" w:lineRule="auto"/>
        <w:ind w:left="10"/>
        <w:rPr>
          <w:rFonts w:ascii="仿宋" w:hAnsi="仿宋" w:eastAsia="仿宋" w:cs="仿宋"/>
          <w:color w:val="auto"/>
          <w:sz w:val="31"/>
          <w:szCs w:val="31"/>
        </w:rPr>
      </w:pPr>
      <w:r>
        <w:rPr>
          <w:rFonts w:ascii="仿宋" w:hAnsi="仿宋" w:eastAsia="仿宋" w:cs="仿宋"/>
          <w:color w:val="auto"/>
          <w:spacing w:val="4"/>
          <w:sz w:val="31"/>
          <w:szCs w:val="31"/>
        </w:rPr>
        <w:t>签格式如图。标本盒内放置樟脑或</w:t>
      </w:r>
      <w:r>
        <w:rPr>
          <w:rFonts w:ascii="Calibri" w:hAnsi="Calibri" w:eastAsia="Calibri" w:cs="Calibri"/>
          <w:color w:val="auto"/>
          <w:spacing w:val="4"/>
          <w:sz w:val="31"/>
          <w:szCs w:val="31"/>
        </w:rPr>
        <w:t>/</w:t>
      </w:r>
      <w:r>
        <w:rPr>
          <w:rFonts w:ascii="仿宋" w:hAnsi="仿宋" w:eastAsia="仿宋" w:cs="仿宋"/>
          <w:color w:val="auto"/>
          <w:spacing w:val="4"/>
          <w:sz w:val="31"/>
          <w:szCs w:val="31"/>
        </w:rPr>
        <w:t>和干燥剂用于标本保存。</w:t>
      </w:r>
    </w:p>
    <w:p>
      <w:pPr>
        <w:spacing w:before="178" w:line="345" w:lineRule="auto"/>
        <w:ind w:firstLine="636"/>
        <w:rPr>
          <w:rFonts w:ascii="仿宋" w:hAnsi="仿宋" w:eastAsia="仿宋" w:cs="仿宋"/>
          <w:color w:val="auto"/>
          <w:sz w:val="31"/>
          <w:szCs w:val="31"/>
        </w:rPr>
      </w:pPr>
      <w:r>
        <w:rPr>
          <w:rFonts w:ascii="仿宋" w:hAnsi="仿宋" w:eastAsia="仿宋" w:cs="仿宋"/>
          <w:b/>
          <w:bCs/>
          <w:color w:val="auto"/>
          <w:spacing w:val="-6"/>
          <w:sz w:val="31"/>
          <w:szCs w:val="31"/>
        </w:rPr>
        <w:t>酒精浸泡标本：</w:t>
      </w:r>
      <w:r>
        <w:rPr>
          <w:rFonts w:ascii="仿宋" w:hAnsi="仿宋" w:eastAsia="仿宋" w:cs="仿宋"/>
          <w:color w:val="auto"/>
          <w:spacing w:val="-6"/>
          <w:sz w:val="31"/>
          <w:szCs w:val="31"/>
        </w:rPr>
        <w:t>将媒介伊蚊雌雄个体分别装入</w:t>
      </w:r>
      <w:r>
        <w:rPr>
          <w:rFonts w:ascii="仿宋" w:hAnsi="仿宋" w:eastAsia="仿宋" w:cs="仿宋"/>
          <w:color w:val="auto"/>
          <w:spacing w:val="-62"/>
          <w:sz w:val="31"/>
          <w:szCs w:val="31"/>
        </w:rPr>
        <w:t xml:space="preserve"> </w:t>
      </w:r>
      <w:r>
        <w:rPr>
          <w:rFonts w:ascii="Calibri" w:hAnsi="Calibri" w:eastAsia="Calibri" w:cs="Calibri"/>
          <w:color w:val="auto"/>
          <w:spacing w:val="-6"/>
          <w:sz w:val="31"/>
          <w:szCs w:val="31"/>
        </w:rPr>
        <w:t>2ml</w:t>
      </w:r>
      <w:r>
        <w:rPr>
          <w:rFonts w:ascii="Calibri" w:hAnsi="Calibri" w:eastAsia="Calibri" w:cs="Calibri"/>
          <w:color w:val="auto"/>
          <w:spacing w:val="35"/>
          <w:w w:val="101"/>
          <w:sz w:val="31"/>
          <w:szCs w:val="31"/>
        </w:rPr>
        <w:t xml:space="preserve"> </w:t>
      </w:r>
      <w:r>
        <w:rPr>
          <w:rFonts w:ascii="仿宋" w:hAnsi="仿宋" w:eastAsia="仿宋" w:cs="仿宋"/>
          <w:color w:val="auto"/>
          <w:spacing w:val="-6"/>
          <w:sz w:val="31"/>
          <w:szCs w:val="31"/>
        </w:rPr>
        <w:t>的冻存管，</w:t>
      </w:r>
      <w:r>
        <w:rPr>
          <w:rFonts w:ascii="仿宋" w:hAnsi="仿宋" w:eastAsia="仿宋" w:cs="仿宋"/>
          <w:color w:val="auto"/>
          <w:sz w:val="31"/>
          <w:szCs w:val="31"/>
        </w:rPr>
        <w:t xml:space="preserve"> </w:t>
      </w:r>
      <w:r>
        <w:rPr>
          <w:rFonts w:ascii="Calibri" w:hAnsi="Calibri" w:eastAsia="Calibri" w:cs="Calibri"/>
          <w:color w:val="auto"/>
          <w:spacing w:val="-4"/>
          <w:sz w:val="31"/>
          <w:szCs w:val="31"/>
        </w:rPr>
        <w:t>20</w:t>
      </w:r>
      <w:r>
        <w:rPr>
          <w:rFonts w:ascii="Calibri" w:hAnsi="Calibri" w:eastAsia="Calibri" w:cs="Calibri"/>
          <w:color w:val="auto"/>
          <w:spacing w:val="29"/>
          <w:w w:val="101"/>
          <w:sz w:val="31"/>
          <w:szCs w:val="31"/>
        </w:rPr>
        <w:t xml:space="preserve"> </w:t>
      </w:r>
      <w:r>
        <w:rPr>
          <w:rFonts w:ascii="仿宋" w:hAnsi="仿宋" w:eastAsia="仿宋" w:cs="仿宋"/>
          <w:color w:val="auto"/>
          <w:spacing w:val="-4"/>
          <w:sz w:val="31"/>
          <w:szCs w:val="31"/>
        </w:rPr>
        <w:t>只</w:t>
      </w:r>
      <w:r>
        <w:rPr>
          <w:rFonts w:ascii="Calibri" w:hAnsi="Calibri" w:eastAsia="Calibri" w:cs="Calibri"/>
          <w:color w:val="auto"/>
          <w:spacing w:val="-4"/>
          <w:sz w:val="31"/>
          <w:szCs w:val="31"/>
        </w:rPr>
        <w:t>/</w:t>
      </w:r>
      <w:r>
        <w:rPr>
          <w:rFonts w:ascii="仿宋" w:hAnsi="仿宋" w:eastAsia="仿宋" w:cs="仿宋"/>
          <w:color w:val="auto"/>
          <w:spacing w:val="-4"/>
          <w:sz w:val="31"/>
          <w:szCs w:val="31"/>
        </w:rPr>
        <w:t>管，</w:t>
      </w:r>
      <w:r>
        <w:rPr>
          <w:rFonts w:ascii="Calibri" w:hAnsi="Calibri" w:eastAsia="Calibri" w:cs="Calibri"/>
          <w:color w:val="auto"/>
          <w:spacing w:val="-4"/>
          <w:sz w:val="31"/>
          <w:szCs w:val="31"/>
        </w:rPr>
        <w:t>95%</w:t>
      </w:r>
      <w:r>
        <w:rPr>
          <w:rFonts w:ascii="仿宋" w:hAnsi="仿宋" w:eastAsia="仿宋" w:cs="仿宋"/>
          <w:color w:val="auto"/>
          <w:spacing w:val="-4"/>
          <w:sz w:val="31"/>
          <w:szCs w:val="31"/>
        </w:rPr>
        <w:t>酒精保存，采集标本不少于</w:t>
      </w:r>
      <w:r>
        <w:rPr>
          <w:rFonts w:ascii="仿宋" w:hAnsi="仿宋" w:eastAsia="仿宋" w:cs="仿宋"/>
          <w:color w:val="auto"/>
          <w:spacing w:val="-48"/>
          <w:sz w:val="31"/>
          <w:szCs w:val="31"/>
        </w:rPr>
        <w:t xml:space="preserve"> </w:t>
      </w:r>
      <w:r>
        <w:rPr>
          <w:rFonts w:ascii="Calibri" w:hAnsi="Calibri" w:eastAsia="Calibri" w:cs="Calibri"/>
          <w:color w:val="auto"/>
          <w:spacing w:val="-4"/>
          <w:sz w:val="31"/>
          <w:szCs w:val="31"/>
        </w:rPr>
        <w:t>1</w:t>
      </w:r>
      <w:r>
        <w:rPr>
          <w:rFonts w:ascii="Calibri" w:hAnsi="Calibri" w:eastAsia="Calibri" w:cs="Calibri"/>
          <w:color w:val="auto"/>
          <w:spacing w:val="-5"/>
          <w:sz w:val="31"/>
          <w:szCs w:val="31"/>
        </w:rPr>
        <w:t>00</w:t>
      </w:r>
      <w:r>
        <w:rPr>
          <w:rFonts w:ascii="Calibri" w:hAnsi="Calibri" w:eastAsia="Calibri" w:cs="Calibri"/>
          <w:color w:val="auto"/>
          <w:spacing w:val="30"/>
          <w:sz w:val="31"/>
          <w:szCs w:val="31"/>
        </w:rPr>
        <w:t xml:space="preserve"> </w:t>
      </w:r>
      <w:r>
        <w:rPr>
          <w:rFonts w:ascii="仿宋" w:hAnsi="仿宋" w:eastAsia="仿宋" w:cs="仿宋"/>
          <w:color w:val="auto"/>
          <w:spacing w:val="-5"/>
          <w:sz w:val="31"/>
          <w:szCs w:val="31"/>
        </w:rPr>
        <w:t>只（监测方法采集</w:t>
      </w:r>
    </w:p>
    <w:p>
      <w:pPr>
        <w:spacing w:before="2" w:line="222" w:lineRule="auto"/>
        <w:ind w:left="10"/>
        <w:rPr>
          <w:rFonts w:ascii="仿宋" w:hAnsi="仿宋" w:eastAsia="仿宋" w:cs="仿宋"/>
          <w:color w:val="auto"/>
          <w:sz w:val="31"/>
          <w:szCs w:val="31"/>
        </w:rPr>
      </w:pPr>
      <w:r>
        <w:rPr>
          <w:rFonts w:ascii="仿宋" w:hAnsi="仿宋" w:eastAsia="仿宋" w:cs="仿宋"/>
          <w:color w:val="auto"/>
          <w:spacing w:val="-5"/>
          <w:sz w:val="31"/>
          <w:szCs w:val="31"/>
        </w:rPr>
        <w:t>不足的用其他方法采集补齐）。</w:t>
      </w:r>
    </w:p>
    <w:p>
      <w:pPr>
        <w:spacing w:before="50"/>
        <w:rPr>
          <w:color w:val="auto"/>
        </w:rPr>
      </w:pPr>
    </w:p>
    <w:tbl>
      <w:tblPr>
        <w:tblStyle w:val="11"/>
        <w:tblW w:w="2480" w:type="dxa"/>
        <w:tblInd w:w="342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13" w:hRule="atLeast"/>
        </w:trPr>
        <w:tc>
          <w:tcPr>
            <w:tcW w:w="2480" w:type="dxa"/>
            <w:noWrap w:val="0"/>
            <w:vAlign w:val="top"/>
          </w:tcPr>
          <w:p>
            <w:pPr>
              <w:spacing w:before="51" w:line="220" w:lineRule="auto"/>
              <w:ind w:left="42"/>
              <w:rPr>
                <w:rFonts w:ascii="仿宋" w:hAnsi="仿宋" w:eastAsia="仿宋" w:cs="仿宋"/>
                <w:color w:val="auto"/>
                <w:sz w:val="24"/>
                <w:szCs w:val="24"/>
              </w:rPr>
            </w:pPr>
            <w:r>
              <w:rPr>
                <w:rFonts w:ascii="仿宋" w:hAnsi="仿宋" w:eastAsia="仿宋" w:cs="仿宋"/>
                <w:color w:val="auto"/>
                <w:spacing w:val="-37"/>
                <w:sz w:val="24"/>
                <w:szCs w:val="24"/>
              </w:rPr>
              <w:t>编号：001</w:t>
            </w:r>
          </w:p>
          <w:p>
            <w:pPr>
              <w:spacing w:before="15" w:line="217" w:lineRule="auto"/>
              <w:ind w:left="42"/>
              <w:rPr>
                <w:rFonts w:ascii="仿宋" w:hAnsi="仿宋" w:eastAsia="仿宋" w:cs="仿宋"/>
                <w:color w:val="auto"/>
                <w:sz w:val="24"/>
                <w:szCs w:val="24"/>
              </w:rPr>
            </w:pPr>
            <w:r>
              <w:rPr>
                <w:rFonts w:ascii="仿宋" w:hAnsi="仿宋" w:eastAsia="仿宋" w:cs="仿宋"/>
                <w:color w:val="auto"/>
                <w:spacing w:val="-32"/>
                <w:w w:val="96"/>
                <w:sz w:val="24"/>
                <w:szCs w:val="24"/>
              </w:rPr>
              <w:t>采集日期：</w:t>
            </w:r>
            <w:r>
              <w:rPr>
                <w:rFonts w:ascii="仿宋" w:hAnsi="仿宋" w:eastAsia="仿宋" w:cs="仿宋"/>
                <w:color w:val="auto"/>
                <w:spacing w:val="-55"/>
                <w:sz w:val="24"/>
                <w:szCs w:val="24"/>
              </w:rPr>
              <w:t xml:space="preserve"> </w:t>
            </w:r>
            <w:r>
              <w:rPr>
                <w:rFonts w:ascii="仿宋" w:hAnsi="仿宋" w:eastAsia="仿宋" w:cs="仿宋"/>
                <w:color w:val="auto"/>
                <w:spacing w:val="-32"/>
                <w:w w:val="96"/>
                <w:sz w:val="24"/>
                <w:szCs w:val="24"/>
              </w:rPr>
              <w:t>2024.06.21</w:t>
            </w:r>
          </w:p>
          <w:p>
            <w:pPr>
              <w:spacing w:before="17" w:line="216" w:lineRule="auto"/>
              <w:ind w:left="41"/>
              <w:rPr>
                <w:rFonts w:ascii="仿宋" w:hAnsi="仿宋" w:eastAsia="仿宋" w:cs="仿宋"/>
                <w:color w:val="auto"/>
                <w:sz w:val="24"/>
                <w:szCs w:val="24"/>
              </w:rPr>
            </w:pPr>
            <w:r>
              <w:rPr>
                <w:rFonts w:ascii="仿宋" w:hAnsi="仿宋" w:eastAsia="仿宋" w:cs="仿宋"/>
                <w:color w:val="auto"/>
                <w:spacing w:val="-44"/>
                <w:sz w:val="24"/>
                <w:szCs w:val="24"/>
              </w:rPr>
              <w:t>地点:</w:t>
            </w:r>
          </w:p>
          <w:p>
            <w:pPr>
              <w:spacing w:before="19" w:line="219" w:lineRule="auto"/>
              <w:ind w:left="52"/>
              <w:rPr>
                <w:rFonts w:ascii="仿宋" w:hAnsi="仿宋" w:eastAsia="仿宋" w:cs="仿宋"/>
                <w:color w:val="auto"/>
                <w:sz w:val="24"/>
                <w:szCs w:val="24"/>
              </w:rPr>
            </w:pPr>
            <w:r>
              <w:rPr>
                <w:rFonts w:ascii="仿宋" w:hAnsi="仿宋" w:eastAsia="仿宋" w:cs="仿宋"/>
                <w:color w:val="auto"/>
                <w:spacing w:val="-46"/>
                <w:sz w:val="24"/>
                <w:szCs w:val="24"/>
              </w:rPr>
              <w:t>生境：公园</w:t>
            </w:r>
          </w:p>
          <w:p>
            <w:pPr>
              <w:spacing w:before="15" w:line="215" w:lineRule="auto"/>
              <w:ind w:left="42"/>
              <w:rPr>
                <w:rFonts w:ascii="仿宋" w:hAnsi="仿宋" w:eastAsia="仿宋" w:cs="仿宋"/>
                <w:color w:val="auto"/>
                <w:sz w:val="24"/>
                <w:szCs w:val="24"/>
              </w:rPr>
            </w:pPr>
            <w:r>
              <w:rPr>
                <w:rFonts w:ascii="仿宋" w:hAnsi="仿宋" w:eastAsia="仿宋" w:cs="仿宋"/>
                <w:color w:val="auto"/>
                <w:spacing w:val="-33"/>
                <w:w w:val="94"/>
                <w:sz w:val="24"/>
                <w:szCs w:val="24"/>
              </w:rPr>
              <w:t>采样方法：双帐法</w:t>
            </w:r>
          </w:p>
          <w:p>
            <w:pPr>
              <w:spacing w:before="20" w:line="231" w:lineRule="auto"/>
              <w:ind w:left="42"/>
              <w:rPr>
                <w:rFonts w:ascii="仿宋" w:hAnsi="仿宋" w:eastAsia="仿宋" w:cs="仿宋"/>
                <w:color w:val="auto"/>
                <w:sz w:val="24"/>
                <w:szCs w:val="24"/>
              </w:rPr>
            </w:pPr>
            <w:r>
              <w:rPr>
                <w:rFonts w:ascii="仿宋" w:hAnsi="仿宋" w:eastAsia="仿宋" w:cs="仿宋"/>
                <w:color w:val="auto"/>
                <w:spacing w:val="-25"/>
                <w:w w:val="88"/>
                <w:sz w:val="24"/>
                <w:szCs w:val="24"/>
              </w:rPr>
              <w:t>采集人：</w:t>
            </w:r>
            <w:r>
              <w:rPr>
                <w:rFonts w:ascii="仿宋" w:hAnsi="仿宋" w:eastAsia="仿宋" w:cs="仿宋"/>
                <w:color w:val="auto"/>
                <w:spacing w:val="-60"/>
                <w:sz w:val="24"/>
                <w:szCs w:val="24"/>
              </w:rPr>
              <w:t xml:space="preserve"> </w:t>
            </w:r>
            <w:r>
              <w:rPr>
                <w:rFonts w:ascii="仿宋" w:hAnsi="仿宋" w:eastAsia="仿宋" w:cs="仿宋"/>
                <w:color w:val="auto"/>
                <w:spacing w:val="-25"/>
                <w:w w:val="88"/>
                <w:sz w:val="24"/>
                <w:szCs w:val="24"/>
              </w:rPr>
              <w:t>XXX</w:t>
            </w:r>
          </w:p>
          <w:p>
            <w:pPr>
              <w:spacing w:line="216" w:lineRule="auto"/>
              <w:ind w:left="42"/>
              <w:rPr>
                <w:rFonts w:ascii="仿宋" w:hAnsi="仿宋" w:eastAsia="仿宋" w:cs="仿宋"/>
                <w:color w:val="auto"/>
                <w:sz w:val="24"/>
                <w:szCs w:val="24"/>
              </w:rPr>
            </w:pPr>
            <w:r>
              <w:rPr>
                <w:rFonts w:ascii="仿宋" w:hAnsi="仿宋" w:eastAsia="仿宋" w:cs="仿宋"/>
                <w:color w:val="auto"/>
                <w:spacing w:val="-42"/>
                <w:sz w:val="24"/>
                <w:szCs w:val="24"/>
              </w:rPr>
              <w:t>种名：</w:t>
            </w:r>
          </w:p>
          <w:p>
            <w:pPr>
              <w:spacing w:before="19" w:line="222" w:lineRule="auto"/>
              <w:ind w:left="44"/>
              <w:rPr>
                <w:rFonts w:ascii="仿宋" w:hAnsi="仿宋" w:eastAsia="仿宋" w:cs="仿宋"/>
                <w:color w:val="auto"/>
                <w:sz w:val="24"/>
                <w:szCs w:val="24"/>
              </w:rPr>
            </w:pPr>
            <w:r>
              <w:rPr>
                <w:rFonts w:ascii="仿宋" w:hAnsi="仿宋" w:eastAsia="仿宋" w:cs="仿宋"/>
                <w:color w:val="auto"/>
                <w:spacing w:val="-25"/>
                <w:w w:val="88"/>
                <w:sz w:val="24"/>
                <w:szCs w:val="24"/>
              </w:rPr>
              <w:t>鉴定人：</w:t>
            </w:r>
            <w:r>
              <w:rPr>
                <w:rFonts w:ascii="仿宋" w:hAnsi="仿宋" w:eastAsia="仿宋" w:cs="仿宋"/>
                <w:color w:val="auto"/>
                <w:spacing w:val="-62"/>
                <w:sz w:val="24"/>
                <w:szCs w:val="24"/>
              </w:rPr>
              <w:t xml:space="preserve"> </w:t>
            </w:r>
            <w:r>
              <w:rPr>
                <w:rFonts w:ascii="仿宋" w:hAnsi="仿宋" w:eastAsia="仿宋" w:cs="仿宋"/>
                <w:color w:val="auto"/>
                <w:spacing w:val="-25"/>
                <w:w w:val="88"/>
                <w:sz w:val="24"/>
                <w:szCs w:val="24"/>
              </w:rPr>
              <w:t>XXX</w:t>
            </w:r>
          </w:p>
        </w:tc>
      </w:tr>
    </w:tbl>
    <w:p>
      <w:pPr>
        <w:spacing w:before="263" w:line="224" w:lineRule="auto"/>
        <w:ind w:left="3774"/>
        <w:rPr>
          <w:rFonts w:ascii="仿宋" w:hAnsi="仿宋" w:eastAsia="仿宋" w:cs="仿宋"/>
          <w:color w:val="auto"/>
          <w:sz w:val="31"/>
          <w:szCs w:val="31"/>
        </w:rPr>
      </w:pPr>
      <w:r>
        <w:rPr>
          <w:rFonts w:ascii="仿宋" w:hAnsi="仿宋" w:eastAsia="仿宋" w:cs="仿宋"/>
          <w:color w:val="auto"/>
          <w:spacing w:val="2"/>
          <w:sz w:val="31"/>
          <w:szCs w:val="31"/>
        </w:rPr>
        <w:t>参考标签格式</w:t>
      </w:r>
    </w:p>
    <w:p>
      <w:pPr>
        <w:pStyle w:val="6"/>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color w:val="auto"/>
          <w:kern w:val="0"/>
          <w:sz w:val="28"/>
          <w:szCs w:val="28"/>
          <w:highlight w:val="none"/>
          <w:lang w:val="zh-CN" w:bidi="ar"/>
        </w:rPr>
      </w:pPr>
    </w:p>
    <w:p>
      <w:pPr>
        <w:pStyle w:val="6"/>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snapToGrid w:val="0"/>
          <w:color w:val="auto"/>
          <w:sz w:val="28"/>
          <w:szCs w:val="28"/>
          <w:highlight w:val="none"/>
        </w:rPr>
      </w:pPr>
      <w:r>
        <w:rPr>
          <w:rFonts w:hint="eastAsia" w:ascii="仿宋" w:hAnsi="仿宋" w:eastAsia="仿宋" w:cs="仿宋"/>
          <w:b/>
          <w:bCs/>
          <w:color w:val="auto"/>
          <w:kern w:val="0"/>
          <w:sz w:val="28"/>
          <w:szCs w:val="28"/>
          <w:highlight w:val="none"/>
          <w:lang w:val="en-US" w:eastAsia="zh-CN" w:bidi="ar"/>
        </w:rPr>
        <w:t>四</w:t>
      </w:r>
      <w:r>
        <w:rPr>
          <w:rFonts w:hint="eastAsia" w:ascii="仿宋" w:hAnsi="仿宋" w:eastAsia="仿宋" w:cs="仿宋"/>
          <w:b/>
          <w:bCs/>
          <w:color w:val="auto"/>
          <w:kern w:val="0"/>
          <w:sz w:val="28"/>
          <w:szCs w:val="28"/>
          <w:highlight w:val="none"/>
          <w:lang w:val="zh-CN" w:bidi="ar"/>
        </w:rPr>
        <w:t>、采购商务要求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auto"/>
          <w:sz w:val="28"/>
          <w:szCs w:val="28"/>
          <w:highlight w:val="none"/>
        </w:rPr>
        <w:t>（一）报价要求：</w:t>
      </w:r>
      <w:r>
        <w:rPr>
          <w:rFonts w:hint="eastAsia" w:ascii="仿宋" w:hAnsi="仿宋" w:eastAsia="仿宋" w:cs="仿宋"/>
          <w:b w:val="0"/>
          <w:bCs w:val="0"/>
          <w:color w:val="auto"/>
          <w:sz w:val="28"/>
          <w:szCs w:val="28"/>
        </w:rPr>
        <w:t>供应商的报价应包括：人员费用、材料费用、车辆费用、管理费及税金等为完成</w:t>
      </w:r>
      <w:r>
        <w:rPr>
          <w:rFonts w:hint="eastAsia" w:ascii="仿宋" w:hAnsi="仿宋" w:eastAsia="仿宋" w:cs="仿宋"/>
          <w:b w:val="0"/>
          <w:bCs w:val="0"/>
          <w:color w:val="auto"/>
          <w:sz w:val="28"/>
          <w:szCs w:val="28"/>
          <w:lang w:eastAsia="zh-CN"/>
        </w:rPr>
        <w:t>竞价</w:t>
      </w:r>
      <w:r>
        <w:rPr>
          <w:rFonts w:hint="eastAsia" w:ascii="仿宋" w:hAnsi="仿宋" w:eastAsia="仿宋" w:cs="仿宋"/>
          <w:b w:val="0"/>
          <w:bCs w:val="0"/>
          <w:color w:val="auto"/>
          <w:sz w:val="28"/>
          <w:szCs w:val="28"/>
        </w:rPr>
        <w:t>文件规定的全部内容所需的一切应有费用。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snapToGrid w:val="0"/>
          <w:color w:val="auto"/>
          <w:sz w:val="28"/>
          <w:szCs w:val="28"/>
          <w:highlight w:val="none"/>
          <w:lang w:val="zh-CN"/>
        </w:rPr>
      </w:pPr>
      <w:r>
        <w:rPr>
          <w:rFonts w:hint="eastAsia" w:ascii="仿宋" w:hAnsi="仿宋" w:eastAsia="仿宋" w:cs="仿宋"/>
          <w:snapToGrid w:val="0"/>
          <w:color w:val="auto"/>
          <w:sz w:val="28"/>
          <w:szCs w:val="28"/>
          <w:highlight w:val="none"/>
        </w:rPr>
        <w:t>（二）服务地点：采购人指定地点</w:t>
      </w:r>
    </w:p>
    <w:p>
      <w:pPr>
        <w:pStyle w:val="6"/>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color w:val="auto"/>
          <w:kern w:val="0"/>
          <w:sz w:val="28"/>
          <w:szCs w:val="28"/>
          <w:highlight w:val="none"/>
          <w:lang w:val="zh-CN" w:bidi="ar"/>
        </w:rPr>
      </w:pPr>
      <w:r>
        <w:rPr>
          <w:rFonts w:hint="eastAsia" w:ascii="仿宋" w:hAnsi="仿宋" w:eastAsia="仿宋" w:cs="仿宋"/>
          <w:b/>
          <w:bCs/>
          <w:color w:val="auto"/>
          <w:kern w:val="0"/>
          <w:sz w:val="28"/>
          <w:szCs w:val="28"/>
          <w:highlight w:val="none"/>
          <w:lang w:val="en-US" w:eastAsia="zh-CN" w:bidi="ar"/>
        </w:rPr>
        <w:t>五</w:t>
      </w:r>
      <w:r>
        <w:rPr>
          <w:rFonts w:hint="eastAsia" w:ascii="仿宋" w:hAnsi="仿宋" w:eastAsia="仿宋" w:cs="仿宋"/>
          <w:b/>
          <w:bCs/>
          <w:color w:val="auto"/>
          <w:kern w:val="0"/>
          <w:sz w:val="28"/>
          <w:szCs w:val="28"/>
          <w:highlight w:val="none"/>
          <w:lang w:val="zh-CN" w:eastAsia="zh-CN" w:bidi="ar"/>
        </w:rPr>
        <w:t>、</w:t>
      </w:r>
      <w:r>
        <w:rPr>
          <w:rFonts w:hint="eastAsia" w:ascii="仿宋" w:hAnsi="仿宋" w:eastAsia="仿宋" w:cs="仿宋"/>
          <w:b/>
          <w:bCs/>
          <w:color w:val="auto"/>
          <w:kern w:val="0"/>
          <w:sz w:val="28"/>
          <w:szCs w:val="28"/>
          <w:highlight w:val="none"/>
          <w:lang w:val="zh-CN" w:bidi="ar"/>
        </w:rPr>
        <w:t>其它要求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napToGrid w:val="0"/>
          <w:color w:val="auto"/>
          <w:sz w:val="28"/>
          <w:szCs w:val="28"/>
          <w:highlight w:val="none"/>
          <w:lang w:val="zh-CN"/>
        </w:rPr>
      </w:pPr>
      <w:r>
        <w:rPr>
          <w:rFonts w:hint="eastAsia" w:ascii="仿宋" w:hAnsi="仿宋" w:eastAsia="仿宋" w:cs="仿宋"/>
          <w:b w:val="0"/>
          <w:bCs w:val="0"/>
          <w:snapToGrid w:val="0"/>
          <w:color w:val="auto"/>
          <w:sz w:val="28"/>
          <w:szCs w:val="28"/>
          <w:highlight w:val="none"/>
          <w:lang w:eastAsia="zh-CN"/>
        </w:rPr>
        <w:t>（</w:t>
      </w:r>
      <w:r>
        <w:rPr>
          <w:rFonts w:hint="eastAsia" w:ascii="仿宋" w:hAnsi="仿宋" w:eastAsia="仿宋" w:cs="仿宋"/>
          <w:b w:val="0"/>
          <w:bCs w:val="0"/>
          <w:snapToGrid w:val="0"/>
          <w:color w:val="auto"/>
          <w:sz w:val="28"/>
          <w:szCs w:val="28"/>
          <w:highlight w:val="none"/>
          <w:lang w:val="en-US" w:eastAsia="zh-CN"/>
        </w:rPr>
        <w:t>一</w:t>
      </w:r>
      <w:r>
        <w:rPr>
          <w:rFonts w:hint="eastAsia" w:ascii="仿宋" w:hAnsi="仿宋" w:eastAsia="仿宋" w:cs="仿宋"/>
          <w:b w:val="0"/>
          <w:bCs w:val="0"/>
          <w:snapToGrid w:val="0"/>
          <w:color w:val="auto"/>
          <w:sz w:val="28"/>
          <w:szCs w:val="28"/>
          <w:highlight w:val="none"/>
          <w:lang w:eastAsia="zh-CN"/>
        </w:rPr>
        <w:t>）</w:t>
      </w:r>
      <w:r>
        <w:rPr>
          <w:rFonts w:hint="eastAsia" w:ascii="仿宋" w:hAnsi="仿宋" w:eastAsia="仿宋" w:cs="仿宋"/>
          <w:b w:val="0"/>
          <w:bCs w:val="0"/>
          <w:snapToGrid w:val="0"/>
          <w:color w:val="auto"/>
          <w:sz w:val="28"/>
          <w:szCs w:val="28"/>
          <w:highlight w:val="none"/>
        </w:rPr>
        <w:t>付款及结算方式：</w:t>
      </w:r>
      <w:r>
        <w:rPr>
          <w:rFonts w:hint="eastAsia" w:ascii="仿宋" w:hAnsi="仿宋" w:eastAsia="仿宋" w:cs="仿宋"/>
          <w:b w:val="0"/>
          <w:bCs w:val="0"/>
          <w:color w:val="auto"/>
          <w:sz w:val="28"/>
          <w:szCs w:val="28"/>
        </w:rPr>
        <w:t>监测完成上报工作，并通过验收合格后15个工作日内完成支付。由于不可抗拒因素造成项目不能完成的，按实际工作量进行支付。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二</w:t>
      </w:r>
      <w:r>
        <w:rPr>
          <w:rFonts w:hint="eastAsia" w:ascii="仿宋" w:hAnsi="仿宋" w:eastAsia="仿宋" w:cs="仿宋"/>
          <w:b w:val="0"/>
          <w:bCs w:val="0"/>
          <w:color w:val="auto"/>
          <w:sz w:val="28"/>
          <w:szCs w:val="28"/>
        </w:rPr>
        <w:t>）投标保证金和履约保证金：无。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三</w:t>
      </w:r>
      <w:r>
        <w:rPr>
          <w:rFonts w:hint="eastAsia" w:ascii="仿宋" w:hAnsi="仿宋" w:eastAsia="仿宋" w:cs="仿宋"/>
          <w:b w:val="0"/>
          <w:bCs w:val="0"/>
          <w:color w:val="auto"/>
          <w:sz w:val="28"/>
          <w:szCs w:val="28"/>
        </w:rPr>
        <w:t>）验收方法及标准</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按照签订的采购合同、技术要求及标准对每一环节、标准的履约情况进行验收。</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91EDE"/>
    <w:multiLevelType w:val="singleLevel"/>
    <w:tmpl w:val="A4891EDE"/>
    <w:lvl w:ilvl="0" w:tentative="0">
      <w:start w:val="5"/>
      <w:numFmt w:val="decimal"/>
      <w:lvlText w:val="%1."/>
      <w:lvlJc w:val="left"/>
      <w:pPr>
        <w:tabs>
          <w:tab w:val="left" w:pos="312"/>
        </w:tabs>
      </w:pPr>
    </w:lvl>
  </w:abstractNum>
  <w:abstractNum w:abstractNumId="1">
    <w:nsid w:val="4509FA4C"/>
    <w:multiLevelType w:val="singleLevel"/>
    <w:tmpl w:val="4509FA4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jBjMDRkMTI4NDg4ZjUxMDc3ODI1NmIwYjQyNjgifQ=="/>
  </w:docVars>
  <w:rsids>
    <w:rsidRoot w:val="00000000"/>
    <w:rsid w:val="2D9702FA"/>
    <w:rsid w:val="4DF9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uiPriority w:val="0"/>
    <w:pPr>
      <w:spacing w:after="120"/>
    </w:pPr>
  </w:style>
  <w:style w:type="paragraph" w:styleId="4">
    <w:name w:val="Date"/>
    <w:basedOn w:val="1"/>
    <w:next w:val="1"/>
    <w:qFormat/>
    <w:uiPriority w:val="0"/>
    <w:rPr>
      <w:b/>
      <w:sz w:val="28"/>
    </w:rPr>
  </w:style>
  <w:style w:type="paragraph" w:styleId="5">
    <w:name w:val="Body Text Indent"/>
    <w:basedOn w:val="1"/>
    <w:next w:val="3"/>
    <w:qFormat/>
    <w:uiPriority w:val="0"/>
    <w:pPr>
      <w:ind w:firstLine="630"/>
    </w:pPr>
    <w:rPr>
      <w:rFonts w:eastAsia="仿宋_GB2312"/>
      <w:sz w:val="28"/>
      <w:szCs w:val="20"/>
    </w:rPr>
  </w:style>
  <w:style w:type="paragraph" w:styleId="6">
    <w:name w:val="Plain Text"/>
    <w:basedOn w:val="1"/>
    <w:qFormat/>
    <w:uiPriority w:val="0"/>
    <w:rPr>
      <w:rFonts w:ascii="宋体" w:hAnsi="Courier New"/>
      <w:szCs w:val="20"/>
    </w:rPr>
  </w:style>
  <w:style w:type="paragraph" w:styleId="7">
    <w:name w:val="Body Text First Indent"/>
    <w:basedOn w:val="3"/>
    <w:next w:val="1"/>
    <w:unhideWhenUsed/>
    <w:qFormat/>
    <w:uiPriority w:val="99"/>
    <w:pPr>
      <w:spacing w:after="120"/>
      <w:ind w:firstLine="420" w:firstLineChars="100"/>
    </w:pPr>
    <w:rPr>
      <w:sz w:val="21"/>
    </w:rPr>
  </w:style>
  <w:style w:type="paragraph" w:styleId="8">
    <w:name w:val="Body Text First Indent 2"/>
    <w:basedOn w:val="5"/>
    <w:next w:val="7"/>
    <w:qFormat/>
    <w:uiPriority w:val="0"/>
    <w:pPr>
      <w:ind w:left="420" w:firstLine="420" w:firstLineChars="200"/>
    </w:pPr>
  </w:style>
  <w:style w:type="table" w:customStyle="1" w:styleId="11">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4413</Words>
  <Characters>4584</Characters>
  <Lines>0</Lines>
  <Paragraphs>0</Paragraphs>
  <TotalTime>0</TotalTime>
  <ScaleCrop>false</ScaleCrop>
  <LinksUpToDate>false</LinksUpToDate>
  <CharactersWithSpaces>4667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2024-07-25T06:08:00Z</dcterms:created>
  <dc:creator>Administrator</dc:creator>
  <cp:lastModifiedBy>周敏</cp:lastModifiedBy>
  <dcterms:modified xsi:type="dcterms:W3CDTF">2024-08-12T03:09:05Z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422C106E32E04E078604A18B7A189664_12</vt:lpwstr>
  </property>
</Properties>
</file>