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2024年安庆市监测点医院放射治疗设备清单</w:t>
      </w:r>
    </w:p>
    <w:tbl>
      <w:tblPr>
        <w:tblStyle w:val="10"/>
        <w:tblpPr w:leftFromText="180" w:rightFromText="180" w:vertAnchor="text" w:horzAnchor="page" w:tblpXSpec="center" w:tblpY="15"/>
        <w:tblOverlap w:val="never"/>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269"/>
        <w:gridCol w:w="1628"/>
        <w:gridCol w:w="824"/>
        <w:gridCol w:w="1827"/>
        <w:gridCol w:w="2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22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被监测单位名称</w:t>
            </w:r>
          </w:p>
        </w:tc>
        <w:tc>
          <w:tcPr>
            <w:tcW w:w="16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放射治疗设备名称</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数量</w:t>
            </w:r>
          </w:p>
        </w:tc>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型号</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设备安装位置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2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安庆市第一人民医院龙山院区</w:t>
            </w:r>
          </w:p>
        </w:tc>
        <w:tc>
          <w:tcPr>
            <w:tcW w:w="16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直线加速器</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医科达precise</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龙山院区放疗中心负一楼肿瘤放疗中心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2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安庆市第一人民医院龙山院区</w:t>
            </w:r>
          </w:p>
        </w:tc>
        <w:tc>
          <w:tcPr>
            <w:tcW w:w="16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后装治疗机</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山东新华XHDR18</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龙山院区放疗中心负一楼肿瘤放疗中心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2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安庆市第二人民医院</w:t>
            </w:r>
          </w:p>
        </w:tc>
        <w:tc>
          <w:tcPr>
            <w:tcW w:w="16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直线加速器</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美国瓦里安/Vital Beam</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放疗中心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22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桐城市人民医院</w:t>
            </w:r>
          </w:p>
        </w:tc>
        <w:tc>
          <w:tcPr>
            <w:tcW w:w="16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医用直线加速器</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8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医科达Precise</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门诊楼负一层</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加速器机房</w:t>
            </w:r>
          </w:p>
        </w:tc>
      </w:tr>
    </w:tbl>
    <w:p>
      <w:pPr>
        <w:keepNext w:val="0"/>
        <w:keepLines w:val="0"/>
        <w:pageBreakBefore w:val="0"/>
        <w:numPr>
          <w:ilvl w:val="0"/>
          <w:numId w:val="0"/>
        </w:numPr>
        <w:kinsoku/>
        <w:wordWrap/>
        <w:overflowPunct/>
        <w:topLinePunct w:val="0"/>
        <w:autoSpaceDE/>
        <w:autoSpaceDN/>
        <w:bidi w:val="0"/>
        <w:spacing w:line="480" w:lineRule="exact"/>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一、服务要求</w:t>
      </w:r>
    </w:p>
    <w:p>
      <w:pPr>
        <w:keepNext w:val="0"/>
        <w:keepLines w:val="0"/>
        <w:pageBreakBefore w:val="0"/>
        <w:numPr>
          <w:ilvl w:val="0"/>
          <w:numId w:val="0"/>
        </w:numPr>
        <w:kinsoku/>
        <w:wordWrap/>
        <w:overflowPunct/>
        <w:topLinePunct w:val="0"/>
        <w:autoSpaceDE/>
        <w:autoSpaceDN/>
        <w:bidi w:val="0"/>
        <w:spacing w:line="480" w:lineRule="exact"/>
        <w:ind w:firstLine="640" w:firstLineChars="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kern w:val="2"/>
          <w:sz w:val="28"/>
          <w:szCs w:val="28"/>
          <w:lang w:val="en-US" w:eastAsia="zh-CN" w:bidi="ar-SA"/>
        </w:rPr>
        <w:t>1、</w:t>
      </w:r>
      <w:r>
        <w:rPr>
          <w:rFonts w:hint="eastAsia" w:ascii="仿宋" w:hAnsi="仿宋" w:eastAsia="仿宋" w:cs="仿宋"/>
          <w:b w:val="0"/>
          <w:bCs w:val="0"/>
          <w:sz w:val="28"/>
          <w:szCs w:val="28"/>
          <w:lang w:val="en-US" w:eastAsia="zh-CN"/>
        </w:rPr>
        <w:t>能满足《2024年安徽省医疗卫生机构医用辐射防护监测项目工作方案》内容要求，具有放射治疗设备（</w:t>
      </w:r>
      <w:r>
        <w:rPr>
          <w:rFonts w:hint="eastAsia" w:ascii="仿宋" w:hAnsi="仿宋" w:eastAsia="仿宋" w:cs="仿宋"/>
          <w:sz w:val="28"/>
          <w:szCs w:val="28"/>
          <w:lang w:eastAsia="zh-CN"/>
        </w:rPr>
        <w:t>医用电子加速器、头部伽玛刀</w:t>
      </w:r>
      <w:r>
        <w:rPr>
          <w:rFonts w:hint="eastAsia" w:ascii="仿宋" w:hAnsi="仿宋" w:eastAsia="仿宋" w:cs="仿宋"/>
          <w:sz w:val="28"/>
          <w:szCs w:val="28"/>
          <w:lang w:val="en-US" w:eastAsia="zh-CN"/>
        </w:rPr>
        <w:t>和后装治疗机等</w:t>
      </w:r>
      <w:r>
        <w:rPr>
          <w:rFonts w:hint="eastAsia" w:ascii="仿宋" w:hAnsi="仿宋" w:eastAsia="仿宋" w:cs="仿宋"/>
          <w:b w:val="0"/>
          <w:bCs w:val="0"/>
          <w:sz w:val="28"/>
          <w:szCs w:val="28"/>
          <w:lang w:val="en-US" w:eastAsia="zh-CN"/>
        </w:rPr>
        <w:t>）设备检测和场所检测能力。</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kern w:val="2"/>
          <w:sz w:val="28"/>
          <w:szCs w:val="28"/>
          <w:lang w:val="en-US" w:eastAsia="zh-CN" w:bidi="ar-SA"/>
        </w:rPr>
        <w:t>2、</w:t>
      </w:r>
      <w:r>
        <w:rPr>
          <w:rFonts w:hint="eastAsia" w:ascii="仿宋" w:hAnsi="仿宋" w:eastAsia="仿宋" w:cs="仿宋"/>
          <w:b w:val="0"/>
          <w:bCs w:val="0"/>
          <w:sz w:val="28"/>
          <w:szCs w:val="28"/>
          <w:lang w:val="en-US" w:eastAsia="zh-CN"/>
        </w:rPr>
        <w:t>能够做到客观公正、科学规范、真实准确，并严格按照省级工作方案和质控方案要求开展业务工作（设备和场所检测初检不合格时，需要提供复检服务），检测完成后出具项目要求监测报告，并协助市疾控中心完成检测数据收集、处理和报送工作。</w:t>
      </w:r>
    </w:p>
    <w:p>
      <w:pPr>
        <w:keepNext w:val="0"/>
        <w:keepLines w:val="0"/>
        <w:pageBreakBefore w:val="0"/>
        <w:numPr>
          <w:ilvl w:val="0"/>
          <w:numId w:val="0"/>
        </w:numPr>
        <w:kinsoku/>
        <w:wordWrap/>
        <w:overflowPunct/>
        <w:topLinePunct w:val="0"/>
        <w:autoSpaceDE/>
        <w:autoSpaceDN/>
        <w:bidi w:val="0"/>
        <w:adjustRightInd w:val="0"/>
        <w:snapToGrid w:val="0"/>
        <w:spacing w:line="480" w:lineRule="exact"/>
        <w:ind w:left="0" w:leftChars="0" w:firstLine="640" w:firstLineChars="0"/>
        <w:jc w:val="both"/>
        <w:textAlignment w:val="auto"/>
        <w:rPr>
          <w:rFonts w:hint="eastAsia" w:ascii="仿宋" w:hAnsi="仿宋" w:eastAsia="仿宋" w:cs="仿宋"/>
          <w:sz w:val="28"/>
          <w:szCs w:val="28"/>
          <w:lang w:eastAsia="zh-CN"/>
        </w:rPr>
      </w:pPr>
      <w:r>
        <w:rPr>
          <w:rFonts w:hint="eastAsia" w:ascii="仿宋" w:hAnsi="仿宋" w:eastAsia="仿宋" w:cs="仿宋"/>
          <w:kern w:val="2"/>
          <w:sz w:val="28"/>
          <w:szCs w:val="28"/>
          <w:lang w:val="en-US" w:eastAsia="zh-CN" w:bidi="ar-SA"/>
        </w:rPr>
        <w:t>3、</w:t>
      </w:r>
      <w:r>
        <w:rPr>
          <w:rFonts w:hint="eastAsia" w:ascii="仿宋" w:hAnsi="仿宋" w:eastAsia="仿宋" w:cs="仿宋"/>
          <w:b w:val="0"/>
          <w:bCs w:val="0"/>
          <w:sz w:val="28"/>
          <w:szCs w:val="28"/>
          <w:lang w:val="en-US" w:eastAsia="zh-CN"/>
        </w:rPr>
        <w:t>做好相关原始记录及相关资料和现场证明材料的收集；对项目检测过程中产生的资料内容，妥善保管；</w:t>
      </w:r>
      <w:r>
        <w:rPr>
          <w:rFonts w:hint="eastAsia" w:ascii="仿宋" w:hAnsi="仿宋" w:eastAsia="仿宋" w:cs="仿宋"/>
          <w:sz w:val="28"/>
          <w:szCs w:val="28"/>
          <w:lang w:eastAsia="zh-CN"/>
        </w:rPr>
        <w:t>应在监测工作开展前为每类监测对象建立医疗机构医用辐射防护监测档案，监测工作所涉及的仪器设备检定或校准证书、原始记录、检测报告等监测相关资料需保存在监测档案内，以供核查。</w:t>
      </w:r>
    </w:p>
    <w:p>
      <w:pPr>
        <w:keepNext w:val="0"/>
        <w:keepLines w:val="0"/>
        <w:pageBreakBefore w:val="0"/>
        <w:numPr>
          <w:ilvl w:val="0"/>
          <w:numId w:val="0"/>
        </w:numPr>
        <w:kinsoku/>
        <w:wordWrap/>
        <w:overflowPunct/>
        <w:topLinePunct w:val="0"/>
        <w:autoSpaceDE/>
        <w:autoSpaceDN/>
        <w:bidi w:val="0"/>
        <w:spacing w:line="480" w:lineRule="exact"/>
        <w:ind w:firstLine="640" w:firstLineChars="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kern w:val="2"/>
          <w:sz w:val="28"/>
          <w:szCs w:val="28"/>
          <w:lang w:val="en-US" w:eastAsia="zh-CN" w:bidi="ar-SA"/>
        </w:rPr>
        <w:t>4、</w:t>
      </w:r>
      <w:r>
        <w:rPr>
          <w:rFonts w:hint="eastAsia" w:ascii="仿宋" w:hAnsi="仿宋" w:eastAsia="仿宋" w:cs="仿宋"/>
          <w:b w:val="0"/>
          <w:bCs w:val="0"/>
          <w:sz w:val="28"/>
          <w:szCs w:val="28"/>
          <w:lang w:val="en-US" w:eastAsia="zh-CN"/>
        </w:rPr>
        <w:t>接受省级质控工作组监测质量核查；如果在监测过程中被发现</w:t>
      </w:r>
      <w:r>
        <w:rPr>
          <w:rFonts w:hint="eastAsia" w:ascii="仿宋" w:hAnsi="仿宋" w:eastAsia="仿宋" w:cs="仿宋"/>
          <w:sz w:val="28"/>
          <w:szCs w:val="28"/>
          <w:lang w:eastAsia="zh-CN"/>
        </w:rPr>
        <w:t>监测结果弄虚作假时，将承受省级项目方案要求中给予的惩罚和处罚措施。</w:t>
      </w:r>
    </w:p>
    <w:p>
      <w:pPr>
        <w:keepNext w:val="0"/>
        <w:keepLines w:val="0"/>
        <w:pageBreakBefore w:val="0"/>
        <w:numPr>
          <w:ilvl w:val="0"/>
          <w:numId w:val="0"/>
        </w:numPr>
        <w:kinsoku/>
        <w:wordWrap/>
        <w:overflowPunct/>
        <w:topLinePunct w:val="0"/>
        <w:autoSpaceDE/>
        <w:autoSpaceDN/>
        <w:bidi w:val="0"/>
        <w:spacing w:line="480" w:lineRule="exact"/>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二、技术要求</w:t>
      </w:r>
    </w:p>
    <w:tbl>
      <w:tblPr>
        <w:tblStyle w:val="10"/>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1285"/>
        <w:gridCol w:w="1132"/>
        <w:gridCol w:w="5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设备名称</w:t>
            </w:r>
          </w:p>
        </w:tc>
        <w:tc>
          <w:tcPr>
            <w:tcW w:w="12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监测设备数量</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监测指标数</w:t>
            </w:r>
          </w:p>
        </w:tc>
        <w:tc>
          <w:tcPr>
            <w:tcW w:w="55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监测指标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医用电子加速器</w:t>
            </w:r>
          </w:p>
        </w:tc>
        <w:tc>
          <w:tcPr>
            <w:tcW w:w="12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55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X射线6项指标：方形X辐射野的均整度、方形X辐射野的对称性、辐射辐射束轴相对等中心的偏移、重复性、线性、剂量偏差。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22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后装治疗机</w:t>
            </w:r>
          </w:p>
        </w:tc>
        <w:tc>
          <w:tcPr>
            <w:tcW w:w="12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55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源活度、源传输到位精确度、放射源累计定位误差、贮源器表面（5cm、100cm）泄漏辐射所致周围剂量当量率、源驻留时间误差、多源系统重复性。</w:t>
            </w:r>
          </w:p>
        </w:tc>
      </w:tr>
    </w:tbl>
    <w:p>
      <w:pPr>
        <w:numPr>
          <w:ilvl w:val="0"/>
          <w:numId w:val="0"/>
        </w:num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三、检测依据</w:t>
      </w:r>
    </w:p>
    <w:p>
      <w:pPr>
        <w:jc w:val="center"/>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放射治疗设备质量防护检测检测依据</w:t>
      </w:r>
    </w:p>
    <w:tbl>
      <w:tblPr>
        <w:tblStyle w:val="10"/>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2211"/>
        <w:gridCol w:w="7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6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放射治疗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设备名称</w:t>
            </w:r>
          </w:p>
        </w:tc>
        <w:tc>
          <w:tcPr>
            <w:tcW w:w="73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检测依据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6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医用电子加速器</w:t>
            </w:r>
          </w:p>
        </w:tc>
        <w:tc>
          <w:tcPr>
            <w:tcW w:w="73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《医用电子加速器性能和试验方法》（GB 15213-2016）或《医用电子直线加速器质量控制检测规范》（WS 674-2020）。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56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后装治疗机</w:t>
            </w:r>
          </w:p>
        </w:tc>
        <w:tc>
          <w:tcPr>
            <w:tcW w:w="73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《后装γ源近距离治疗质量控制检测规范》(WS 262-2017)</w:t>
            </w:r>
          </w:p>
        </w:tc>
      </w:tr>
    </w:tbl>
    <w:p>
      <w:pPr>
        <w:numPr>
          <w:ilvl w:val="0"/>
          <w:numId w:val="0"/>
        </w:num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zh-CN" w:eastAsia="zh-CN"/>
        </w:rPr>
        <w:t>四、商务要求</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napToGrid w:val="0"/>
          <w:color w:val="1D1D20"/>
          <w:sz w:val="28"/>
          <w:szCs w:val="28"/>
        </w:rPr>
      </w:pPr>
      <w:bookmarkStart w:id="0" w:name="_Toc24273"/>
      <w:r>
        <w:rPr>
          <w:rFonts w:hint="eastAsia" w:ascii="仿宋" w:hAnsi="仿宋" w:eastAsia="仿宋" w:cs="仿宋"/>
          <w:b w:val="0"/>
          <w:bCs w:val="0"/>
          <w:color w:val="1D1D20"/>
          <w:sz w:val="28"/>
          <w:szCs w:val="28"/>
          <w:lang w:val="en-US" w:eastAsia="zh-CN"/>
        </w:rPr>
        <w:t>1、</w:t>
      </w:r>
      <w:r>
        <w:rPr>
          <w:rFonts w:hint="eastAsia" w:ascii="仿宋" w:hAnsi="仿宋" w:eastAsia="仿宋" w:cs="仿宋"/>
          <w:b w:val="0"/>
          <w:bCs w:val="0"/>
          <w:color w:val="1D1D20"/>
          <w:sz w:val="28"/>
          <w:szCs w:val="28"/>
        </w:rPr>
        <w:t>报价要求：</w:t>
      </w:r>
      <w:r>
        <w:rPr>
          <w:rFonts w:hint="eastAsia" w:ascii="仿宋" w:hAnsi="仿宋" w:eastAsia="仿宋" w:cs="仿宋"/>
          <w:b w:val="0"/>
          <w:bCs w:val="0"/>
          <w:snapToGrid w:val="0"/>
          <w:color w:val="1D1D20"/>
          <w:sz w:val="28"/>
          <w:szCs w:val="28"/>
        </w:rPr>
        <w:t>供应商的报价应包括：人员费用、运输费用、设备费、管理费及税金等为完成</w:t>
      </w:r>
      <w:r>
        <w:rPr>
          <w:rFonts w:hint="eastAsia" w:ascii="仿宋" w:hAnsi="仿宋" w:eastAsia="仿宋" w:cs="仿宋"/>
          <w:color w:val="1D1D20"/>
          <w:kern w:val="0"/>
          <w:sz w:val="28"/>
          <w:szCs w:val="28"/>
          <w:lang w:eastAsia="zh-CN" w:bidi="ar"/>
        </w:rPr>
        <w:t>议价采购</w:t>
      </w:r>
      <w:r>
        <w:rPr>
          <w:rFonts w:hint="eastAsia" w:ascii="仿宋" w:hAnsi="仿宋" w:eastAsia="仿宋" w:cs="仿宋"/>
          <w:b w:val="0"/>
          <w:bCs w:val="0"/>
          <w:snapToGrid w:val="0"/>
          <w:color w:val="1D1D20"/>
          <w:sz w:val="28"/>
          <w:szCs w:val="28"/>
        </w:rPr>
        <w:t>文件规定全部内容所需的一切应有费用。</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napToGrid w:val="0"/>
          <w:color w:val="1D1D20"/>
          <w:sz w:val="28"/>
          <w:szCs w:val="28"/>
          <w:lang w:val="zh-CN" w:eastAsia="zh-CN"/>
        </w:rPr>
      </w:pPr>
      <w:r>
        <w:rPr>
          <w:rFonts w:hint="eastAsia" w:ascii="仿宋" w:hAnsi="仿宋" w:eastAsia="仿宋" w:cs="仿宋"/>
          <w:b w:val="0"/>
          <w:bCs w:val="0"/>
          <w:snapToGrid w:val="0"/>
          <w:color w:val="1D1D20"/>
          <w:sz w:val="28"/>
          <w:szCs w:val="28"/>
          <w:lang w:val="en-US" w:eastAsia="zh-CN"/>
        </w:rPr>
        <w:t>2、服务</w:t>
      </w:r>
      <w:r>
        <w:rPr>
          <w:rFonts w:hint="eastAsia" w:ascii="仿宋" w:hAnsi="仿宋" w:eastAsia="仿宋" w:cs="仿宋"/>
          <w:b w:val="0"/>
          <w:bCs w:val="0"/>
          <w:snapToGrid w:val="0"/>
          <w:color w:val="1D1D20"/>
          <w:sz w:val="28"/>
          <w:szCs w:val="28"/>
        </w:rPr>
        <w:t>地点：采购人指定地点</w:t>
      </w:r>
      <w:r>
        <w:rPr>
          <w:rFonts w:hint="eastAsia" w:ascii="仿宋" w:hAnsi="仿宋" w:eastAsia="仿宋" w:cs="仿宋"/>
          <w:b w:val="0"/>
          <w:bCs w:val="0"/>
          <w:snapToGrid w:val="0"/>
          <w:color w:val="1D1D2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color w:val="1D1D20"/>
          <w:sz w:val="28"/>
          <w:szCs w:val="28"/>
          <w:highlight w:val="yellow"/>
        </w:rPr>
      </w:pPr>
      <w:r>
        <w:rPr>
          <w:rFonts w:hint="eastAsia" w:ascii="仿宋" w:hAnsi="仿宋" w:eastAsia="仿宋" w:cs="仿宋"/>
          <w:b w:val="0"/>
          <w:bCs w:val="0"/>
          <w:snapToGrid w:val="0"/>
          <w:color w:val="1D1D20"/>
          <w:sz w:val="28"/>
          <w:szCs w:val="28"/>
          <w:lang w:val="en-US" w:eastAsia="zh-CN"/>
        </w:rPr>
        <w:t>3、</w:t>
      </w:r>
      <w:r>
        <w:rPr>
          <w:rFonts w:hint="eastAsia" w:ascii="仿宋" w:hAnsi="仿宋" w:eastAsia="仿宋" w:cs="仿宋"/>
          <w:b w:val="0"/>
          <w:bCs w:val="0"/>
          <w:snapToGrid w:val="0"/>
          <w:color w:val="1D1D20"/>
          <w:sz w:val="28"/>
          <w:szCs w:val="28"/>
        </w:rPr>
        <w:t>付款及结算方式：</w:t>
      </w:r>
      <w:r>
        <w:rPr>
          <w:rFonts w:hint="eastAsia" w:ascii="仿宋" w:hAnsi="仿宋" w:eastAsia="仿宋" w:cs="仿宋"/>
          <w:b w:val="0"/>
          <w:bCs w:val="0"/>
          <w:color w:val="1D1D20"/>
          <w:sz w:val="28"/>
          <w:szCs w:val="28"/>
          <w:highlight w:val="none"/>
          <w:lang w:eastAsia="zh-CN"/>
        </w:rPr>
        <w:t>成交供应商</w:t>
      </w:r>
      <w:r>
        <w:rPr>
          <w:rFonts w:hint="eastAsia" w:ascii="仿宋" w:hAnsi="仿宋" w:eastAsia="仿宋" w:cs="仿宋"/>
          <w:b w:val="0"/>
          <w:bCs w:val="0"/>
          <w:color w:val="1D1D20"/>
          <w:sz w:val="28"/>
          <w:szCs w:val="28"/>
          <w:highlight w:val="none"/>
          <w:lang w:val="en-US" w:eastAsia="zh-CN"/>
        </w:rPr>
        <w:t>检测完成后出具检测报告后</w:t>
      </w:r>
      <w:r>
        <w:rPr>
          <w:rFonts w:hint="eastAsia" w:ascii="仿宋" w:hAnsi="仿宋" w:eastAsia="仿宋" w:cs="仿宋"/>
          <w:b w:val="0"/>
          <w:bCs w:val="0"/>
          <w:color w:val="1D1D20"/>
          <w:sz w:val="28"/>
          <w:szCs w:val="28"/>
          <w:highlight w:val="none"/>
        </w:rPr>
        <w:t>，凭国家正式发票及相关证明文件向采购人申请付款，采购人收到申请后在15个工作日内结清全部</w:t>
      </w:r>
      <w:r>
        <w:rPr>
          <w:rFonts w:hint="eastAsia" w:ascii="仿宋" w:hAnsi="仿宋" w:eastAsia="仿宋" w:cs="仿宋"/>
          <w:b w:val="0"/>
          <w:bCs w:val="0"/>
          <w:color w:val="1D1D20"/>
          <w:sz w:val="28"/>
          <w:szCs w:val="28"/>
          <w:highlight w:val="none"/>
          <w:lang w:val="en-US" w:eastAsia="zh-CN"/>
        </w:rPr>
        <w:t>费用</w:t>
      </w:r>
      <w:r>
        <w:rPr>
          <w:rFonts w:hint="eastAsia" w:ascii="仿宋" w:hAnsi="仿宋" w:eastAsia="仿宋" w:cs="仿宋"/>
          <w:b w:val="0"/>
          <w:bCs w:val="0"/>
          <w:color w:val="1D1D2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color w:val="1D1D20"/>
          <w:spacing w:val="-1"/>
          <w:sz w:val="28"/>
          <w:szCs w:val="28"/>
          <w:highlight w:val="none"/>
          <w:lang w:val="en-US" w:eastAsia="zh-CN"/>
        </w:rPr>
      </w:pPr>
      <w:r>
        <w:rPr>
          <w:rFonts w:hint="eastAsia" w:ascii="仿宋" w:hAnsi="仿宋" w:eastAsia="仿宋" w:cs="仿宋"/>
          <w:b w:val="0"/>
          <w:bCs w:val="0"/>
          <w:color w:val="1D1D20"/>
          <w:sz w:val="28"/>
          <w:szCs w:val="28"/>
          <w:lang w:val="en-US" w:eastAsia="zh-CN"/>
        </w:rPr>
        <w:t>4、</w:t>
      </w:r>
      <w:r>
        <w:rPr>
          <w:rFonts w:hint="eastAsia" w:ascii="仿宋" w:hAnsi="仿宋" w:eastAsia="仿宋" w:cs="仿宋"/>
          <w:b w:val="0"/>
          <w:bCs w:val="0"/>
          <w:color w:val="1D1D20"/>
          <w:sz w:val="28"/>
          <w:szCs w:val="28"/>
          <w:lang w:eastAsia="zh-CN"/>
        </w:rPr>
        <w:t>踏勘现场：</w:t>
      </w:r>
      <w:r>
        <w:rPr>
          <w:rFonts w:hint="eastAsia" w:ascii="仿宋" w:hAnsi="仿宋" w:eastAsia="仿宋" w:cs="仿宋"/>
          <w:b w:val="0"/>
          <w:bCs w:val="0"/>
          <w:color w:val="1D1D20"/>
          <w:sz w:val="28"/>
          <w:szCs w:val="28"/>
          <w:highlight w:val="none"/>
          <w:lang w:val="en-US" w:eastAsia="zh-CN"/>
        </w:rPr>
        <w:t>本项目采购人不组织集中踏勘现场。</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color w:val="1D1D20"/>
          <w:sz w:val="28"/>
          <w:szCs w:val="28"/>
          <w:lang w:val="en-US" w:eastAsia="zh-CN"/>
        </w:rPr>
        <w:t>5、</w:t>
      </w:r>
      <w:r>
        <w:rPr>
          <w:rFonts w:hint="eastAsia" w:ascii="仿宋" w:hAnsi="仿宋" w:eastAsia="仿宋" w:cs="仿宋"/>
          <w:b w:val="0"/>
          <w:bCs w:val="0"/>
          <w:color w:val="1D1D20"/>
          <w:sz w:val="28"/>
          <w:szCs w:val="28"/>
        </w:rPr>
        <w:t>验收标准</w:t>
      </w:r>
      <w:r>
        <w:rPr>
          <w:rFonts w:hint="eastAsia" w:ascii="仿宋" w:hAnsi="仿宋" w:eastAsia="仿宋" w:cs="仿宋"/>
          <w:b w:val="0"/>
          <w:bCs w:val="0"/>
          <w:color w:val="1D1D20"/>
          <w:sz w:val="28"/>
          <w:szCs w:val="28"/>
          <w:lang w:eastAsia="zh-CN"/>
        </w:rPr>
        <w:t>：</w:t>
      </w:r>
      <w:r>
        <w:rPr>
          <w:rFonts w:hint="eastAsia" w:ascii="仿宋" w:hAnsi="仿宋" w:eastAsia="仿宋" w:cs="仿宋"/>
          <w:b w:val="0"/>
          <w:bCs w:val="0"/>
          <w:color w:val="1D1D20"/>
          <w:sz w:val="28"/>
          <w:szCs w:val="28"/>
          <w:highlight w:val="none"/>
          <w:lang w:val="en-US" w:eastAsia="zh-CN"/>
        </w:rPr>
        <w:t>通过国家和行业标准</w:t>
      </w:r>
      <w:bookmarkEnd w:id="0"/>
      <w:r>
        <w:rPr>
          <w:rFonts w:hint="eastAsia" w:ascii="仿宋" w:hAnsi="仿宋" w:eastAsia="仿宋" w:cs="仿宋"/>
          <w:b w:val="0"/>
          <w:bCs w:val="0"/>
          <w:color w:val="1D1D20"/>
          <w:sz w:val="28"/>
          <w:szCs w:val="28"/>
          <w:highlight w:val="none"/>
          <w:lang w:val="en-US" w:eastAsia="zh-CN"/>
        </w:rPr>
        <w:t>。</w:t>
      </w:r>
    </w:p>
    <w:p>
      <w:pPr>
        <w:numPr>
          <w:ilvl w:val="0"/>
          <w:numId w:val="0"/>
        </w:numPr>
        <w:jc w:val="left"/>
        <w:rPr>
          <w:rFonts w:hint="eastAsia" w:ascii="仿宋" w:hAnsi="仿宋" w:eastAsia="仿宋" w:cs="仿宋"/>
          <w:b w:val="0"/>
          <w:bCs w:val="0"/>
          <w:sz w:val="28"/>
          <w:szCs w:val="28"/>
          <w:lang w:val="en-US" w:eastAsia="zh-CN"/>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614FC"/>
    <w:multiLevelType w:val="multilevel"/>
    <w:tmpl w:val="146614FC"/>
    <w:lvl w:ilvl="0" w:tentative="0">
      <w:start w:val="1"/>
      <w:numFmt w:val="none"/>
      <w:pStyle w:val="3"/>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pStyle w:val="6"/>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YjkwYzhkYmQ4YmQ3ZjI4Y2E0NzJlYjE3YjNjMDAifQ=="/>
  </w:docVars>
  <w:rsids>
    <w:rsidRoot w:val="39036840"/>
    <w:rsid w:val="02E02228"/>
    <w:rsid w:val="045E4692"/>
    <w:rsid w:val="06F469BB"/>
    <w:rsid w:val="0A5C2211"/>
    <w:rsid w:val="106250A3"/>
    <w:rsid w:val="13C16619"/>
    <w:rsid w:val="20817646"/>
    <w:rsid w:val="210C5CAC"/>
    <w:rsid w:val="21956EA7"/>
    <w:rsid w:val="29430597"/>
    <w:rsid w:val="2B454B53"/>
    <w:rsid w:val="2D0E480C"/>
    <w:rsid w:val="2DF172B8"/>
    <w:rsid w:val="32346F6E"/>
    <w:rsid w:val="338F0990"/>
    <w:rsid w:val="358C2805"/>
    <w:rsid w:val="39036840"/>
    <w:rsid w:val="39DA0B3A"/>
    <w:rsid w:val="3C4C5ED9"/>
    <w:rsid w:val="3D7D7E78"/>
    <w:rsid w:val="520B162D"/>
    <w:rsid w:val="558A781D"/>
    <w:rsid w:val="55E324F9"/>
    <w:rsid w:val="5C245548"/>
    <w:rsid w:val="69F65D30"/>
    <w:rsid w:val="6A3F4EDF"/>
    <w:rsid w:val="711D2041"/>
    <w:rsid w:val="7F3F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
    <w:autoRedefine/>
    <w:qFormat/>
    <w:uiPriority w:val="0"/>
    <w:pPr>
      <w:keepNext/>
      <w:widowControl/>
      <w:numPr>
        <w:ilvl w:val="0"/>
        <w:numId w:val="1"/>
      </w:numPr>
      <w:ind w:left="0" w:firstLine="0"/>
      <w:jc w:val="center"/>
      <w:outlineLvl w:val="0"/>
    </w:pPr>
    <w:rPr>
      <w:rFonts w:ascii="黑体" w:hAnsi="黑体" w:eastAsia="宋体" w:cs="宋体"/>
      <w:kern w:val="0"/>
      <w:sz w:val="24"/>
      <w:szCs w:val="20"/>
    </w:rPr>
  </w:style>
  <w:style w:type="paragraph" w:styleId="4">
    <w:name w:val="heading 2"/>
    <w:basedOn w:val="1"/>
    <w:next w:val="5"/>
    <w:link w:val="13"/>
    <w:autoRedefine/>
    <w:semiHidden/>
    <w:unhideWhenUsed/>
    <w:qFormat/>
    <w:uiPriority w:val="0"/>
    <w:pPr>
      <w:keepNext/>
      <w:keepLines/>
      <w:widowControl/>
      <w:spacing w:line="360" w:lineRule="auto"/>
      <w:jc w:val="center"/>
      <w:outlineLvl w:val="1"/>
    </w:pPr>
    <w:rPr>
      <w:rFonts w:ascii="Arial" w:hAnsi="Arial" w:eastAsia="宋体" w:cs="Times New Roman"/>
      <w:b/>
      <w:kern w:val="0"/>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character" w:default="1" w:styleId="11">
    <w:name w:val="Default Paragraph Font"/>
    <w:autoRedefine/>
    <w:unhideWhenUsed/>
    <w:qFormat/>
    <w:uiPriority w:val="1"/>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after="120"/>
    </w:pPr>
  </w:style>
  <w:style w:type="paragraph" w:styleId="5">
    <w:name w:val="Normal Indent"/>
    <w:basedOn w:val="1"/>
    <w:autoRedefine/>
    <w:qFormat/>
    <w:uiPriority w:val="0"/>
    <w:pPr>
      <w:ind w:firstLine="420" w:firstLineChars="200"/>
    </w:pPr>
  </w:style>
  <w:style w:type="paragraph" w:styleId="7">
    <w:name w:val="Body Text Indent"/>
    <w:basedOn w:val="1"/>
    <w:autoRedefine/>
    <w:qFormat/>
    <w:uiPriority w:val="0"/>
    <w:pPr>
      <w:spacing w:after="120" w:afterLines="0" w:afterAutospacing="0"/>
      <w:ind w:left="420" w:leftChars="200"/>
    </w:pPr>
  </w:style>
  <w:style w:type="paragraph" w:styleId="8">
    <w:name w:val="Body Text First Indent 2"/>
    <w:basedOn w:val="7"/>
    <w:autoRedefine/>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link w:val="3"/>
    <w:autoRedefine/>
    <w:qFormat/>
    <w:uiPriority w:val="0"/>
    <w:rPr>
      <w:rFonts w:ascii="宋体" w:hAnsi="宋体" w:eastAsia="宋体" w:cs="宋体"/>
      <w:b/>
      <w:bCs/>
      <w:snapToGrid w:val="0"/>
      <w:color w:val="000000"/>
      <w:kern w:val="44"/>
      <w:sz w:val="32"/>
      <w:szCs w:val="44"/>
      <w:lang w:eastAsia="en-US"/>
    </w:rPr>
  </w:style>
  <w:style w:type="character" w:customStyle="1" w:styleId="13">
    <w:name w:val="标题 2 Char"/>
    <w:basedOn w:val="11"/>
    <w:link w:val="4"/>
    <w:autoRedefine/>
    <w:semiHidden/>
    <w:qFormat/>
    <w:uiPriority w:val="9"/>
    <w:rPr>
      <w:rFonts w:ascii="Arial" w:hAnsi="Arial"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2024-10-11T07:16:00Z</dcterms:created>
  <dc:creator>沫、若微笑</dc:creator>
  <cp:lastModifiedBy>沫、若微笑</cp:lastModifiedBy>
  <dcterms:modified xsi:type="dcterms:W3CDTF">2024-10-11T07:17:15Z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CCA644A90EE34218ADE81BEBFF57FACA_11</vt:lpwstr>
  </property>
</Properties>
</file>