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highlight w:val="none"/>
        </w:rPr>
      </w:pPr>
      <w:bookmarkStart w:id="0" w:name="_GoBack"/>
      <w:bookmarkEnd w:id="0"/>
      <w:r>
        <w:rPr>
          <w:rFonts w:hint="eastAsia"/>
          <w:highlight w:val="none"/>
          <w:lang w:val="en-US" w:eastAsia="zh-CN"/>
        </w:rPr>
        <w:t>采购需求</w:t>
      </w:r>
    </w:p>
    <w:p>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一、技术参数要求</w:t>
      </w:r>
    </w:p>
    <w:tbl>
      <w:tblPr>
        <w:tblStyle w:val="6"/>
        <w:tblW w:w="101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857"/>
        <w:gridCol w:w="1543"/>
        <w:gridCol w:w="857"/>
        <w:gridCol w:w="4474"/>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类别</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种类</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包一：</w:t>
            </w:r>
          </w:p>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乔木</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香樟</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胸径Ф15cm,树高 450-650cm,冠幅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300-400cm,枝下高 300-320cm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栾树</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胸径Ф15cm,树高 550-700cm,冠幅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280-350cm,枝下高 300-320cm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樱花</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 10cm,树高 200-250cm,冠幅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170-220cm,枝下高 100-120cm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紫薇</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 10cm,树高 200-350cm,冠幅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180-250cm,枝下高 100-150cm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枇杷</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 12cm,树高 200-350cm,冠幅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180-250cm,枝下高 100-150cm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大桂花</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地径：≥35cm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株高、冠径：高≥6.5m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冠≥5.0m 全冠</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桂花</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地径：≥15cm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株高、冠径：高≥5.5m，冠≥4.0m 全冠</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染井吉樱</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胸径：地径10cm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株高、冠径：高≥3.5m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冠≥3.0m</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日本红枫</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 8cm,树高 200-250cm,冠幅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150-250cm,枝下高 80-100cm</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银杏</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胸径Ф15cm,树高 650-750cm,冠幅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280-400cm,枝下高 300-320cm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水杉</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胸径：8公分</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8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造型红花继木桩</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株高、冠径：高1.0-2.5m，冠1.0-2.0m 造型，大小、高低搭配，枝叶茂密，业主选形</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包二：</w:t>
            </w:r>
          </w:p>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灌木</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红叶石楠球</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蓬径：150cm</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冠丛高：高1.0m 冠1.2m光球</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丛生桂花</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地径：地径8cm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冠丛高：高≥2.5m，冠≥2.0m 全冠，分支点0.4m，3-4分支</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垂丝海棠</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地径：地径5cm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冠丛高：高≥1.8m，冠≥1.5m 全冠</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红花继木球</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冠丛高：高1.0m，冠1.5m 光球</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亮晶女贞球</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冠丛高：高1.0m，冠1.0m光球</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茶梅球</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冠丛高：高0.5m，冠0.8m 光球</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红叶石楠（毛球）</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单位面积株数：25株/㎡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株高或蓬径：高0.5-0.7m冠0.4-0.45m 修剪后规格，郁密度100%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金边黄杨（毛球）</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单位面积株数：36株/㎡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株高或蓬径：高0.50m冠0.25m 修剪后规格，郁密度100%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海桐片栽（毛球）</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单位面积株数：25株/㎡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株高或蓬径：高0.4-0.5m冠0.3-0.4m 修剪后规格，郁密度100%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5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黄金构骨（毛球）</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单位面积株数：20株/㎡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株高或蓬径：高0.50m冠0.40m 修剪后规格，郁密度100%</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5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红花继木（毛球）</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单位面积株数：30株/㎡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株高或蓬径：高0.40m冠0.30m 修剪后规格，郁密度100%</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海桐（毛球）</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单位面积株数：16株/㎡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株高或蓬径：高0.60m冠0.40m                               </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5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春鹃（毛球）</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单位面积株数：36株/㎡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株高或蓬径：高0.30m冠0.25m 修剪后规格，郁密度100% </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5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洒金珊瑚（毛球）</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单位面积株数：10株/㎡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株高或蓬径：高0.50m冠0.30m 修剪后规格，郁密度100%                                     </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丰花月季</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冠丛高：条长1.8-2米,分支2-4枝(其中枝3不低于50%),冠幅50公分,花色分为单株红、黄色(比例50%左右)</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阔叶麦冬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点栽 </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果岭草</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满铺 </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282</w:t>
            </w:r>
          </w:p>
        </w:tc>
      </w:tr>
    </w:tbl>
    <w:p>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二、服务要求</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1、成交供应商要根据采购人需求，在指定时间内，从苗木选择采购到送至指定地点一切工作，包括但不限于以下工作内容：苗源确定、修剪装车、相应证照办理、运输、卸货等。</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2、成交供应商供应的货物需在保质期内且质量合格（随货物提供合格证或相应检验检疫材料），各项指标均符合国家、省、市各级相关文件及竞价文件要求。</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货物需求：（1）植株健壮苗干通直圆满，规格要求一致，枝条茁壮，组织充实，木质化程度高。乔木主干明确；花灌木分支均匀；球形苗木枝叶茂密，具体苗木规格严格按照采购人采购清单要求。（2）根系发达而完整，乔木树种苗木主根达到30厘米或以上，有较多的侧根和须根，根系无裂劈。（3）具有完整健壮的顶芽。（4）苗木无机械损伤，无病虫害，无失水、有旺盛的生命力。（5）苗木达到“七分苗”以上标准。</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4、接采购人书面通知后，成交供应商应在采购人规定的时间内及时将需要的货物送到指定地点。除与采购人协商并经采购人同意外，不得以任何理由拒绝供货或未在规定时间内供货，否则采购人有权解除合同。</w:t>
      </w:r>
    </w:p>
    <w:p>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color w:val="000000"/>
          <w:kern w:val="0"/>
          <w:sz w:val="30"/>
          <w:szCs w:val="30"/>
          <w:highlight w:val="none"/>
          <w:lang w:val="zh-CN" w:eastAsia="zh-CN" w:bidi="ar"/>
        </w:rPr>
      </w:pPr>
      <w:r>
        <w:rPr>
          <w:rFonts w:hint="eastAsia" w:ascii="黑体" w:hAnsi="黑体" w:eastAsia="黑体" w:cs="黑体"/>
          <w:b w:val="0"/>
          <w:bCs w:val="0"/>
          <w:color w:val="000000"/>
          <w:kern w:val="0"/>
          <w:sz w:val="30"/>
          <w:szCs w:val="30"/>
          <w:highlight w:val="none"/>
          <w:lang w:val="zh-CN" w:eastAsia="zh-CN" w:bidi="ar"/>
        </w:rPr>
        <w:t>三、其他要求</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1、苗源组织及起苗进度应及时与采购人现场人员联系，根据项目现场进展情况组织苗木的起苗、装车、运输；</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 xml:space="preserve">2、成交供应商应根据采购人提供的采购清单规定的苗木品种、规格、数量、树形要求和计划进场时间进行发货，如成交供应商有擅自调配树种、规格、数量、更改发货时间等行为，采购人有权解除合同或要求苗木退场； </w:t>
      </w:r>
    </w:p>
    <w:p>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苗木验收：成交供应商必须严格按照采购要求进行供应苗木，苗木进场按要求验收，如有规格不符，修剪过重、散球数量过多、散球严重等情况，采购人有权拒收，由此造成的经济损失由成交供应商自行承担。</w:t>
      </w:r>
    </w:p>
    <w:p>
      <w:pPr>
        <w:pStyle w:val="5"/>
        <w:rPr>
          <w:rFonts w:hint="eastAsia"/>
          <w:sz w:val="28"/>
          <w:szCs w:val="28"/>
          <w:highlight w:val="none"/>
          <w:lang w:val="zh-CN" w:eastAsia="zh-CN"/>
        </w:rPr>
      </w:pPr>
      <w:r>
        <w:rPr>
          <w:rFonts w:hint="eastAsia" w:ascii="仿宋" w:hAnsi="仿宋" w:eastAsia="仿宋" w:cs="仿宋"/>
          <w:b/>
          <w:bCs/>
          <w:i w:val="0"/>
          <w:iCs w:val="0"/>
          <w:color w:val="1D1D20"/>
          <w:kern w:val="0"/>
          <w:sz w:val="28"/>
          <w:szCs w:val="28"/>
          <w:highlight w:val="none"/>
          <w:u w:val="none"/>
          <w:lang w:val="en-US" w:eastAsia="zh-CN" w:bidi="ar"/>
        </w:rPr>
        <w:t>特别说明：本项目分2个包别，单独评审中标，参与投标供应商可对2个包别或其中1个包进行报价。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highlight w:val="none"/>
          <w:lang w:val="en-US" w:eastAsia="zh-CN"/>
        </w:rPr>
      </w:pPr>
      <w:r>
        <w:rPr>
          <w:rFonts w:hint="eastAsia" w:ascii="黑体" w:hAnsi="黑体" w:eastAsia="黑体" w:cs="黑体"/>
          <w:color w:val="000000"/>
          <w:kern w:val="0"/>
          <w:sz w:val="30"/>
          <w:szCs w:val="30"/>
          <w:highlight w:val="none"/>
          <w:lang w:val="zh-CN" w:eastAsia="zh-CN" w:bidi="ar"/>
        </w:rPr>
        <w:t>四、采购商务要求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kern w:val="2"/>
          <w:sz w:val="28"/>
          <w:szCs w:val="28"/>
          <w:highlight w:val="none"/>
          <w:lang w:val="en-US" w:eastAsia="zh-CN" w:bidi="ar-SA"/>
        </w:rPr>
      </w:pPr>
      <w:r>
        <w:rPr>
          <w:rFonts w:hint="eastAsia" w:ascii="仿宋" w:hAnsi="仿宋" w:eastAsia="仿宋" w:cs="仿宋"/>
          <w:b w:val="0"/>
          <w:bCs w:val="0"/>
          <w:sz w:val="28"/>
          <w:szCs w:val="28"/>
          <w:highlight w:val="none"/>
          <w:lang w:eastAsia="zh-CN"/>
        </w:rPr>
        <w:t>（一）</w:t>
      </w:r>
      <w:r>
        <w:rPr>
          <w:rFonts w:hint="eastAsia" w:ascii="仿宋" w:hAnsi="仿宋" w:eastAsia="仿宋" w:cs="仿宋"/>
          <w:b w:val="0"/>
          <w:bCs w:val="0"/>
          <w:sz w:val="28"/>
          <w:szCs w:val="28"/>
          <w:highlight w:val="none"/>
        </w:rPr>
        <w:t>报价要求：</w:t>
      </w:r>
      <w:r>
        <w:rPr>
          <w:rFonts w:hint="eastAsia" w:ascii="仿宋" w:hAnsi="仿宋" w:eastAsia="仿宋" w:cs="仿宋"/>
          <w:snapToGrid w:val="0"/>
          <w:kern w:val="2"/>
          <w:sz w:val="28"/>
          <w:szCs w:val="28"/>
          <w:highlight w:val="none"/>
          <w:lang w:val="en-US" w:eastAsia="zh-CN" w:bidi="ar-SA"/>
        </w:rPr>
        <w:t>供应商的报价应包括：人员费用、运输费用、设备费、管理费及税金等为完成竞价文件规定全部内容所需的一切应有费用。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zh-CN" w:eastAsia="zh-CN"/>
        </w:rPr>
      </w:pPr>
      <w:r>
        <w:rPr>
          <w:rFonts w:hint="eastAsia" w:ascii="仿宋" w:hAnsi="仿宋" w:eastAsia="仿宋" w:cs="仿宋"/>
          <w:b w:val="0"/>
          <w:bCs w:val="0"/>
          <w:snapToGrid w:val="0"/>
          <w:sz w:val="28"/>
          <w:szCs w:val="28"/>
          <w:highlight w:val="none"/>
          <w:lang w:eastAsia="zh-CN"/>
        </w:rPr>
        <w:t>（二）供货地点</w:t>
      </w:r>
      <w:r>
        <w:rPr>
          <w:rFonts w:hint="eastAsia" w:ascii="仿宋" w:hAnsi="仿宋" w:eastAsia="仿宋" w:cs="仿宋"/>
          <w:b/>
          <w:bCs/>
          <w:snapToGrid w:val="0"/>
          <w:sz w:val="28"/>
          <w:szCs w:val="28"/>
          <w:highlight w:val="none"/>
          <w:lang w:eastAsia="zh-CN"/>
        </w:rPr>
        <w:t>：</w:t>
      </w:r>
      <w:r>
        <w:rPr>
          <w:rFonts w:hint="eastAsia" w:ascii="仿宋" w:hAnsi="仿宋" w:eastAsia="仿宋" w:cs="仿宋"/>
          <w:b w:val="0"/>
          <w:bCs w:val="0"/>
          <w:snapToGrid w:val="0"/>
          <w:sz w:val="28"/>
          <w:szCs w:val="28"/>
          <w:highlight w:val="none"/>
          <w:lang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（三）供货期：分批供货，具体供货时间以采购人书面通知为准，每批次接采购人通知后</w:t>
      </w:r>
      <w:r>
        <w:rPr>
          <w:rFonts w:hint="eastAsia" w:ascii="仿宋" w:hAnsi="仿宋" w:eastAsia="仿宋" w:cs="仿宋"/>
          <w:b w:val="0"/>
          <w:bCs w:val="0"/>
          <w:snapToGrid w:val="0"/>
          <w:sz w:val="28"/>
          <w:szCs w:val="28"/>
          <w:highlight w:val="none"/>
          <w:lang w:val="en-US" w:eastAsia="zh-CN"/>
        </w:rPr>
        <w:t>3</w:t>
      </w:r>
      <w:r>
        <w:rPr>
          <w:rFonts w:hint="eastAsia" w:ascii="仿宋" w:hAnsi="仿宋" w:eastAsia="仿宋" w:cs="仿宋"/>
          <w:b w:val="0"/>
          <w:bCs w:val="0"/>
          <w:snapToGrid w:val="0"/>
          <w:sz w:val="28"/>
          <w:szCs w:val="28"/>
          <w:highlight w:val="none"/>
          <w:lang w:eastAsia="zh-CN"/>
        </w:rPr>
        <w:t>日内完成供货。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en-US" w:eastAsia="zh-CN"/>
        </w:rPr>
      </w:pPr>
      <w:r>
        <w:rPr>
          <w:rFonts w:hint="eastAsia" w:ascii="仿宋" w:hAnsi="仿宋" w:eastAsia="仿宋" w:cs="仿宋"/>
          <w:b w:val="0"/>
          <w:bCs w:val="0"/>
          <w:snapToGrid w:val="0"/>
          <w:sz w:val="28"/>
          <w:szCs w:val="28"/>
          <w:highlight w:val="none"/>
          <w:lang w:val="en-US" w:eastAsia="zh-CN"/>
        </w:rPr>
        <w:t>（四）付款及结算方式：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供货完成且验收合格后，付合同价款的97%，成交供应商按采购人要求凭国家正式发票及相关证明文件向采购人申请付款，采购人收到申请后在15个工作日内支付，一年后付清剩余</w:t>
      </w:r>
      <w:r>
        <w:rPr>
          <w:rFonts w:hint="eastAsia" w:ascii="仿宋" w:hAnsi="仿宋" w:eastAsia="仿宋" w:cs="仿宋"/>
          <w:b w:val="0"/>
          <w:bCs w:val="0"/>
          <w:snapToGrid w:val="0"/>
          <w:sz w:val="28"/>
          <w:szCs w:val="28"/>
          <w:highlight w:val="none"/>
          <w:lang w:val="en-US" w:eastAsia="zh-CN"/>
        </w:rPr>
        <w:t>3%合同价款，</w:t>
      </w:r>
      <w:r>
        <w:rPr>
          <w:rFonts w:hint="eastAsia" w:ascii="仿宋" w:hAnsi="仿宋" w:eastAsia="仿宋" w:cs="仿宋"/>
          <w:b w:val="0"/>
          <w:bCs w:val="0"/>
          <w:snapToGrid w:val="0"/>
          <w:sz w:val="28"/>
          <w:szCs w:val="28"/>
          <w:highlight w:val="none"/>
          <w:lang w:eastAsia="zh-CN"/>
        </w:rPr>
        <w:t>不计息。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五</w:t>
      </w:r>
      <w:r>
        <w:rPr>
          <w:rFonts w:hint="eastAsia" w:ascii="仿宋" w:hAnsi="仿宋" w:eastAsia="仿宋" w:cs="仿宋"/>
          <w:b w:val="0"/>
          <w:bCs w:val="0"/>
          <w:sz w:val="28"/>
          <w:szCs w:val="28"/>
          <w:highlight w:val="none"/>
        </w:rPr>
        <w:t>）验收方法及标准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按照签订的采购合同</w:t>
      </w:r>
      <w:r>
        <w:rPr>
          <w:rFonts w:hint="eastAsia" w:ascii="仿宋" w:hAnsi="仿宋" w:eastAsia="仿宋" w:cs="仿宋"/>
          <w:b w:val="0"/>
          <w:bCs w:val="0"/>
          <w:sz w:val="28"/>
          <w:szCs w:val="28"/>
          <w:highlight w:val="none"/>
          <w:lang w:eastAsia="zh-CN"/>
        </w:rPr>
        <w:t>、验收标准</w:t>
      </w:r>
      <w:r>
        <w:rPr>
          <w:rFonts w:hint="eastAsia" w:ascii="仿宋" w:hAnsi="仿宋" w:eastAsia="仿宋" w:cs="仿宋"/>
          <w:b w:val="0"/>
          <w:bCs w:val="0"/>
          <w:sz w:val="28"/>
          <w:szCs w:val="28"/>
          <w:highlight w:val="none"/>
        </w:rPr>
        <w:t>进行验收</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验收</w:t>
      </w:r>
      <w:r>
        <w:rPr>
          <w:rFonts w:hint="eastAsia" w:ascii="仿宋" w:hAnsi="仿宋" w:eastAsia="仿宋" w:cs="仿宋"/>
          <w:b w:val="0"/>
          <w:bCs w:val="0"/>
          <w:sz w:val="28"/>
          <w:szCs w:val="28"/>
          <w:highlight w:val="none"/>
          <w:lang w:eastAsia="zh-CN"/>
        </w:rPr>
        <w:t>合格</w:t>
      </w:r>
      <w:r>
        <w:rPr>
          <w:rFonts w:hint="eastAsia" w:ascii="仿宋" w:hAnsi="仿宋" w:eastAsia="仿宋" w:cs="仿宋"/>
          <w:b w:val="0"/>
          <w:bCs w:val="0"/>
          <w:sz w:val="28"/>
          <w:szCs w:val="28"/>
          <w:highlight w:val="none"/>
        </w:rPr>
        <w:t>后，应当出具验收</w:t>
      </w:r>
      <w:r>
        <w:rPr>
          <w:rFonts w:hint="eastAsia" w:ascii="仿宋" w:hAnsi="仿宋" w:eastAsia="仿宋" w:cs="仿宋"/>
          <w:b w:val="0"/>
          <w:bCs w:val="0"/>
          <w:sz w:val="28"/>
          <w:szCs w:val="28"/>
          <w:highlight w:val="none"/>
          <w:lang w:eastAsia="zh-CN"/>
        </w:rPr>
        <w:t>报告</w:t>
      </w:r>
      <w:r>
        <w:rPr>
          <w:rFonts w:hint="eastAsia" w:ascii="仿宋" w:hAnsi="仿宋" w:eastAsia="仿宋" w:cs="仿宋"/>
          <w:b w:val="0"/>
          <w:bCs w:val="0"/>
          <w:sz w:val="28"/>
          <w:szCs w:val="28"/>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jBjMDRkMTI4NDg4ZjUxMDc3ODI1NmIwYjQyNjgifQ=="/>
  </w:docVars>
  <w:rsids>
    <w:rsidRoot w:val="00000000"/>
    <w:rsid w:val="19613DCC"/>
    <w:rsid w:val="1D27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9" w:lineRule="auto"/>
      <w:jc w:val="center"/>
      <w:outlineLvl w:val="0"/>
    </w:pPr>
    <w:rPr>
      <w:rFonts w:ascii="Times New Roman" w:hAnsi="Times New Roman" w:eastAsia="方正小标宋简体"/>
      <w:b/>
      <w:bCs/>
      <w:kern w:val="44"/>
      <w:sz w:val="32"/>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630"/>
    </w:pPr>
    <w:rPr>
      <w:rFonts w:eastAsia="仿宋_GB2312"/>
      <w:sz w:val="28"/>
      <w:szCs w:val="20"/>
    </w:rPr>
  </w:style>
  <w:style w:type="paragraph" w:styleId="4">
    <w:name w:val="Plain Text"/>
    <w:basedOn w:val="1"/>
    <w:qFormat/>
    <w:uiPriority w:val="0"/>
    <w:rPr>
      <w:rFonts w:ascii="宋体" w:hAnsi="Courier New"/>
      <w:szCs w:val="20"/>
    </w:rPr>
  </w:style>
  <w:style w:type="paragraph" w:styleId="5">
    <w:name w:val="Body Text First Indent 2"/>
    <w:basedOn w:val="3"/>
    <w:qFormat/>
    <w:uiPriority w:val="0"/>
    <w:pPr>
      <w:ind w:left="42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2024-10-28T09:36:00Z</dcterms:created>
  <dc:creator>Administrator</dc:creator>
  <cp:lastModifiedBy>沫、若微笑</cp:lastModifiedBy>
  <dcterms:modified xsi:type="dcterms:W3CDTF">2024-10-29T02:10:56Z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1369D3179C0B45D59AF8EDAF94D43AF7_13</vt:lpwstr>
  </property>
</Properties>
</file>