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color w:val="auto"/>
          <w:kern w:val="44"/>
          <w:sz w:val="44"/>
          <w:szCs w:val="44"/>
          <w:highlight w:val="none"/>
          <w:lang w:eastAsia="zh-CN"/>
        </w:rPr>
      </w:pPr>
      <w:bookmarkStart w:id="0" w:name="_Toc28264"/>
      <w:r>
        <w:rPr>
          <w:rFonts w:hint="eastAsia" w:ascii="仿宋" w:hAnsi="仿宋" w:eastAsia="仿宋" w:cs="仿宋"/>
          <w:b/>
          <w:color w:val="auto"/>
          <w:kern w:val="44"/>
          <w:sz w:val="44"/>
          <w:szCs w:val="44"/>
          <w:highlight w:val="none"/>
          <w:lang w:eastAsia="zh-CN"/>
        </w:rPr>
        <w:t>地形测绘及房屋安全鉴定服务项目</w:t>
      </w:r>
    </w:p>
    <w:p>
      <w:pPr>
        <w:pStyle w:val="2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color w:val="auto"/>
          <w:kern w:val="44"/>
          <w:sz w:val="44"/>
          <w:szCs w:val="44"/>
          <w:highlight w:val="none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color w:val="auto"/>
          <w:kern w:val="44"/>
          <w:sz w:val="44"/>
          <w:szCs w:val="4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44"/>
          <w:sz w:val="44"/>
          <w:szCs w:val="44"/>
          <w:highlight w:val="none"/>
        </w:rPr>
        <w:t>需求</w:t>
      </w:r>
      <w:bookmarkEnd w:id="0"/>
    </w:p>
    <w:p>
      <w:pPr>
        <w:pStyle w:val="14"/>
        <w:rPr>
          <w:rFonts w:hint="default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一、地形测绘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）测绘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范围：根据业主需要的测绘面积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二期测绘面积约5.2万平方米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付款方式：测绘工作完成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后支付合同价款的40%，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验收合格后一次性付清。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合同签订后15日内完成测绘工作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成果要求：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 基础地形测量：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控制测量：建立起整个园区的控制网，包括平面控制测量（如导线测量、GPS 测量等）和高程控制测量（如水准测量等），为后续的地形测量提供准确的基准。这一步骤可以确定园区内各个测量点的准确位置和高程，确保地形数据的精度和可靠性。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碎部测量：对园区内的地形、地物进行详细的测量和记录。例如，测量园区内的建筑物、道路、广场、景观设施等的位置、形状、尺寸等信息；对园区内的地形起伏、坡度、坡向等进行测量，绘制出等高线图，以反映园区的地形地貌特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2.单体建筑现状图测绘：对园区内单体建筑进行测绘，成果应包括建筑物的现状图，立面图等。图纸应按规定的比例绘制，符号表示清晰准确，文字说明简洁、明了。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 地下管线探测：如果园区内存在地下管线（如给排水管道、电力电缆、通信电缆等），需要进行地下管线探测。确定地下管线的位置、走向、埋深、管径等信息，并绘制地下管线分布图，为园区的规划、建设和管理提供重要的基础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 地形分析与报告编制：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地形分析：对测量得到的地形数据进行分析，计算园区内的地形参数，如土方量、坡度、坡向、汇水面积等。这些参数对于园区的规划设计、排水设计、景观设计等都具有重要的参考价值。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报告编制：根据测量数据和分析结果，编制详细的地形测绘报告。报告应包括测量的目的、方法、技术标准、测量成果、地形分析结果等内容，为园区的建设和管理提供科学、准确的依据。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 数据处理与成果提交：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数据处理：对测量得到的原始数据进行处理和编辑，去除误差和错误数据，保证数据的准确性和完整性。将处理后的地形数据转换为通用的地理信息系统（GIS）格式或其他指定的数据格式，以便于数据的存储、管理和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成果提交：按照合同要求和相关标准，将地形测绘的成果（包括测量图纸、数据文件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含3D模型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、报告等）提交给委托方。同时，应提供数据的备份和技术支持，确保委托方能够正确使用和管理地形测绘成果。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质量标准：成果符合国家有关规定标准。</w:t>
      </w:r>
    </w:p>
    <w:p>
      <w:pP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二、房屋安全鉴定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）服务内容：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资料调查：收集被鉴定房屋的建筑图纸、施工资料、使用历史等相关原始资料，了解房屋的建设年代、结构形式、使用情况等基本信息。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现场查勘：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成交单位组织人员现场查勘。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建筑结构检查：对房屋的地基基础、承重结构（如梁、板、柱、墙等）进行检查，查看是否有不均匀沉降、裂缝、变形、腐蚀等现象；检查钢结构的焊缝质量、连接节点是否牢固；木结构的木材腐朽、虫蛀、节点松动等情况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建筑尺寸测量：测量房屋的轴线尺寸、层高、构件截面尺寸等，与设计图纸进行对比，检查是否存在偏差。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外观质量检查：查看房屋的墙体、屋面、地面、门窗等部位的外观质量，是否有渗漏、破损、裂缝等问题。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附属设施检查：对房屋的附属设施，如阳台、楼梯、栏杆、烟囱等进行检查，确保其安全性。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检测试验：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材料强度检测：采用回弹法、钻芯法等方法检测混凝土的强度；使用钢材拉伸试验等方法检测钢材的强度；对砖、砌块等砌体材料进行强度检测。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钢筋配置检测：利用钢筋探测仪等设备检测钢筋的直径、间距、保护层厚度等配置情况。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建筑物倾斜检测：使用经纬仪、全站仪等仪器测量建筑物的倾斜度，判断是否超出允许范围。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裂缝监测：对房屋的裂缝进行定期监测，记录裂缝的宽度、长度、深度等变化情况，分析裂缝的发展趋势。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分析评估：根据收集的资料、现场查勘和检测试验结果，对房屋的安全性、使用性、耐久性等进行综合分析评估，判断房屋是否存在安全隐患，以及隐患的严重程度。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提出建议：根据评估结果，提出相应的处理建议，如维修加固、拆除重建、继续观察使用等。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）原则要求：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科学性原则：鉴定工作应依据国家现行的规范、标准和科学的方法进行，确保鉴定结果的准确性和可靠性。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公正性原则：鉴定机构应独立开展工作，不受任何外部因素的干扰，保证鉴定结果的公正性和客观性。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全面性原则：对房屋的各个方面进行全面的检查和评估，不能遗漏任何可能影响房屋安全的因素。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及时性原则：按照约定的时间完成鉴定工作，及时出具鉴定报告，以便房屋所有人或使用人能够及时采取相应的措施。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）成果资料要求：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本项目需提供电子版（一份）及纸质版资料（不少于三份）。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鉴定报告：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报告内容：应包括房屋的基本信息（如地址、建筑面积、结构形式等）、鉴定的目的、依据、方法、过程、结果、结论和建议等内容。报告中的数据应准确、可靠，文字表述应清晰、准确。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报告格式：应按照相关规定的格式编写，报告编号应连续，不得随意抽撤、涂改。报告应加盖鉴定机构的公章和注册结构工程师执业章。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原始记录：包括现场查勘记录、检测试验数据记录、照片、影像等原始资料，应进行整理、归档，保证其可追溯性。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附件资料：如建筑图纸、检测报告、计算书等相关的附件资料，应与鉴定报告一并提交，作为鉴定结果的支持性文件。</w:t>
      </w:r>
    </w:p>
    <w:p>
      <w:pP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三、其他说明</w:t>
      </w:r>
    </w:p>
    <w:p>
      <w:pPr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成交单位需在项目所在地行政主管部门进行备案，并承诺成果文件通过评审。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614FC"/>
    <w:multiLevelType w:val="multilevel"/>
    <w:tmpl w:val="146614F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4FF253C6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FF253C6"/>
    <w:rsid w:val="520B162D"/>
    <w:rsid w:val="558A781D"/>
    <w:rsid w:val="55E324F9"/>
    <w:rsid w:val="5C245548"/>
    <w:rsid w:val="69F65D30"/>
    <w:rsid w:val="6A3F4EDF"/>
    <w:rsid w:val="711D2041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黑体" w:hAnsi="黑体" w:eastAsia="宋体" w:cs="宋体"/>
      <w:kern w:val="0"/>
      <w:sz w:val="24"/>
      <w:szCs w:val="20"/>
    </w:rPr>
  </w:style>
  <w:style w:type="paragraph" w:styleId="3">
    <w:name w:val="heading 2"/>
    <w:basedOn w:val="1"/>
    <w:next w:val="4"/>
    <w:link w:val="13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7"/>
    <w:unhideWhenUsed/>
    <w:qFormat/>
    <w:uiPriority w:val="0"/>
    <w:pPr>
      <w:spacing w:after="120"/>
    </w:pPr>
  </w:style>
  <w:style w:type="paragraph" w:styleId="7">
    <w:name w:val="Date"/>
    <w:basedOn w:val="1"/>
    <w:next w:val="1"/>
    <w:unhideWhenUsed/>
    <w:qFormat/>
    <w:uiPriority w:val="0"/>
    <w:rPr>
      <w:sz w:val="24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ind w:firstLine="420" w:firstLineChars="200"/>
    </w:pPr>
  </w:style>
  <w:style w:type="character" w:customStyle="1" w:styleId="12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3">
    <w:name w:val="标题 2 Char"/>
    <w:basedOn w:val="11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  <w:style w:type="paragraph" w:customStyle="1" w:styleId="14">
    <w:name w:val="正文 New"/>
    <w:basedOn w:val="1"/>
    <w:autoRedefine/>
    <w:qFormat/>
    <w:uiPriority w:val="99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2024-10-28T03:10:00Z</dcterms:created>
  <dc:creator>沫、若微笑</dc:creator>
  <cp:lastModifiedBy>沫、若微笑</cp:lastModifiedBy>
  <dcterms:modified xsi:type="dcterms:W3CDTF">2024-10-28T03:11:26Z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A5A5C6786E5B43F0974FB34CEF3FD316_11</vt:lpwstr>
  </property>
</Properties>
</file>