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 w:ascii="仿宋" w:hAnsi="仿宋" w:eastAsia="仿宋" w:cs="仿宋"/>
          <w:b w:val="0"/>
          <w:bCs w:val="0"/>
          <w:color w:val="1D1D2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1D1D20"/>
          <w:kern w:val="0"/>
          <w:sz w:val="32"/>
          <w:szCs w:val="32"/>
          <w:lang w:bidi="ar"/>
        </w:rPr>
        <w:t xml:space="preserve"> 采购需求</w:t>
      </w:r>
    </w:p>
    <w:tbl>
      <w:tblPr>
        <w:tblStyle w:val="5"/>
        <w:tblpPr w:leftFromText="180" w:rightFromText="180" w:vertAnchor="text" w:horzAnchor="page" w:tblpXSpec="center" w:tblpY="520"/>
        <w:tblOverlap w:val="never"/>
        <w:tblW w:w="9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1994"/>
        <w:gridCol w:w="2396"/>
        <w:gridCol w:w="1516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材料编码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材料名称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规格型号及特征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计量单位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单价（限价）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0413A13B11AV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混凝土实心砖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3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SCB 240×115×53 MU20 GB/T 21144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块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0.36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0403A17B05BV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9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机制中粗砂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39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细度模数 3.7～2.3 GB/T14684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t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0405A33B29BT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9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碎石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10-20mm GB/T 14685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t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0401A13B54BT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9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普通硅酸盐水泥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39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P•O 42.5 GB 175（袋装）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t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9590" w:type="dxa"/>
            <w:gridSpan w:val="5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color w:val="1D1D2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1D1D20"/>
                <w:kern w:val="2"/>
                <w:sz w:val="28"/>
                <w:szCs w:val="28"/>
                <w:highlight w:val="none"/>
                <w:lang w:val="en-US" w:eastAsia="zh-CN" w:bidi="ar-SA"/>
              </w:rPr>
              <w:t>注：1.</w:t>
            </w:r>
            <w:r>
              <w:rPr>
                <w:rFonts w:hint="eastAsia" w:ascii="仿宋" w:hAnsi="仿宋" w:eastAsia="仿宋" w:cs="仿宋"/>
                <w:color w:val="1D1D20"/>
                <w:kern w:val="2"/>
                <w:sz w:val="28"/>
                <w:szCs w:val="28"/>
                <w:highlight w:val="none"/>
                <w:lang w:val="zh-CN" w:eastAsia="zh-CN" w:bidi="ar-SA"/>
              </w:rPr>
              <w:t>材料价格信息执行的税率如下：</w:t>
            </w:r>
            <w:r>
              <w:rPr>
                <w:rFonts w:hint="default" w:ascii="Calibri" w:hAnsi="Calibri" w:eastAsia="仿宋" w:cs="Calibri"/>
                <w:color w:val="1D1D20"/>
                <w:kern w:val="2"/>
                <w:sz w:val="28"/>
                <w:szCs w:val="28"/>
                <w:highlight w:val="none"/>
                <w:lang w:val="zh-CN" w:eastAsia="zh-CN" w:bidi="ar-SA"/>
              </w:rPr>
              <w:t>①</w:t>
            </w:r>
            <w:r>
              <w:rPr>
                <w:rFonts w:hint="eastAsia" w:ascii="仿宋" w:hAnsi="仿宋" w:eastAsia="仿宋" w:cs="仿宋"/>
                <w:color w:val="1D1D20"/>
                <w:kern w:val="2"/>
                <w:sz w:val="28"/>
                <w:szCs w:val="28"/>
                <w:highlight w:val="none"/>
                <w:lang w:val="en-US" w:eastAsia="zh-CN" w:bidi="ar-SA"/>
              </w:rPr>
              <w:t>3%税率：砂、碎石；</w:t>
            </w:r>
            <w:r>
              <w:rPr>
                <w:rFonts w:hint="default" w:ascii="Calibri" w:hAnsi="Calibri" w:eastAsia="仿宋" w:cs="Calibri"/>
                <w:color w:val="1D1D20"/>
                <w:kern w:val="2"/>
                <w:sz w:val="28"/>
                <w:szCs w:val="28"/>
                <w:highlight w:val="none"/>
                <w:lang w:val="en-US" w:eastAsia="zh-CN" w:bidi="ar-SA"/>
              </w:rPr>
              <w:t>②</w:t>
            </w:r>
            <w:r>
              <w:rPr>
                <w:rFonts w:hint="eastAsia" w:ascii="仿宋" w:hAnsi="仿宋" w:eastAsia="仿宋" w:cs="仿宋"/>
                <w:color w:val="1D1D20"/>
                <w:kern w:val="2"/>
                <w:sz w:val="28"/>
                <w:szCs w:val="28"/>
                <w:highlight w:val="none"/>
                <w:lang w:val="en-US" w:eastAsia="zh-CN" w:bidi="ar-SA"/>
              </w:rPr>
              <w:t>13%税率：水泥、砖。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color w:val="1D1D2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1D1D20"/>
                <w:kern w:val="2"/>
                <w:sz w:val="28"/>
                <w:szCs w:val="28"/>
                <w:highlight w:val="none"/>
                <w:lang w:val="en-US" w:eastAsia="zh-CN" w:bidi="ar-SA"/>
              </w:rPr>
              <w:t>各投标供应商单价报价不得超过单价限价。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color w:val="1D1D2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1D1D20"/>
                <w:kern w:val="2"/>
                <w:sz w:val="28"/>
                <w:szCs w:val="28"/>
                <w:highlight w:val="none"/>
                <w:lang w:val="en-US" w:eastAsia="zh-CN" w:bidi="ar-SA"/>
              </w:rPr>
              <w:t>各项税费、运输费及装卸费等为完成本项目所需的一切费用均由供货方承担。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color w:val="1D1D2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olor w:val="1D1D20"/>
          <w:kern w:val="0"/>
          <w:sz w:val="28"/>
          <w:szCs w:val="28"/>
          <w:lang w:val="zh-CN" w:bidi="ar"/>
        </w:rPr>
        <w:t>一、</w:t>
      </w:r>
      <w:r>
        <w:rPr>
          <w:rFonts w:hint="eastAsia" w:ascii="黑体" w:hAnsi="黑体" w:eastAsia="黑体" w:cs="黑体"/>
          <w:color w:val="1D1D20"/>
          <w:kern w:val="0"/>
          <w:sz w:val="28"/>
          <w:szCs w:val="28"/>
          <w:lang w:val="en-US" w:eastAsia="zh-CN" w:bidi="ar"/>
        </w:rPr>
        <w:t>材料需求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napToGrid w:val="0"/>
          <w:color w:val="1D1D20"/>
          <w:sz w:val="28"/>
          <w:szCs w:val="28"/>
        </w:rPr>
      </w:pPr>
      <w:r>
        <w:rPr>
          <w:rFonts w:hint="eastAsia" w:ascii="黑体" w:hAnsi="黑体" w:eastAsia="黑体" w:cs="黑体"/>
          <w:color w:val="1D1D20"/>
          <w:kern w:val="0"/>
          <w:sz w:val="28"/>
          <w:szCs w:val="28"/>
          <w:lang w:val="zh-CN" w:bidi="ar"/>
        </w:rPr>
        <w:t>二、采购商务要求</w:t>
      </w:r>
    </w:p>
    <w:p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</w:rPr>
      </w:pPr>
      <w:bookmarkStart w:id="0" w:name="_Toc24273"/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</w:rPr>
        <w:t>报价要求：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1D1D20"/>
          <w:sz w:val="28"/>
          <w:szCs w:val="28"/>
          <w:highlight w:val="none"/>
          <w:lang w:val="en-US" w:eastAsia="zh-CN"/>
        </w:rPr>
        <w:t>本次采购按</w:t>
      </w:r>
      <w:r>
        <w:rPr>
          <w:rFonts w:hint="eastAsia" w:ascii="仿宋" w:hAnsi="仿宋" w:eastAsia="仿宋" w:cs="仿宋"/>
          <w:b/>
          <w:bCs/>
          <w:color w:val="1D1D20"/>
          <w:sz w:val="28"/>
          <w:szCs w:val="28"/>
          <w:highlight w:val="none"/>
          <w:lang w:val="en-US" w:eastAsia="zh-CN"/>
        </w:rPr>
        <w:t>安庆市建筑管理处发布的2024年第11期信息价价格</w:t>
      </w:r>
      <w:r>
        <w:rPr>
          <w:rFonts w:hint="eastAsia" w:ascii="仿宋" w:hAnsi="仿宋" w:eastAsia="仿宋" w:cs="仿宋"/>
          <w:color w:val="1D1D20"/>
          <w:sz w:val="28"/>
          <w:szCs w:val="28"/>
          <w:highlight w:val="none"/>
          <w:lang w:val="en-US" w:eastAsia="zh-CN"/>
        </w:rPr>
        <w:t>的100%作为最高投标限价，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报价方式为费率报价，在服务期限内不因任何因素而调整。以费率报价最低的为成交单位，本项目最终成交价计算公式为：实际采购数量*</w:t>
      </w:r>
      <w:r>
        <w:rPr>
          <w:rFonts w:hint="eastAsia" w:ascii="仿宋" w:hAnsi="仿宋" w:eastAsia="仿宋" w:cs="仿宋"/>
          <w:b/>
          <w:bCs/>
          <w:color w:val="1D1D20"/>
          <w:sz w:val="28"/>
          <w:szCs w:val="28"/>
          <w:highlight w:val="none"/>
          <w:lang w:val="en-US" w:eastAsia="zh-CN"/>
        </w:rPr>
        <w:t>安庆市建筑管理处发布的2024年第11期信息价价格*成交人成交费率。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2.服务要求：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（1）投标人需按采购人要求供货。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（2）本项目最终数量以实际施工时采购人采购量为准，但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合同总额不超过9万元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（3）按照采购人的要求，合理安排材料的运输供给，材料的保质期及存储条件符合国家要求（水泥需在保质期内）。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3、配送地点：采购人指定地点。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付款及结算方式：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材料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</w:rPr>
        <w:t>验收合格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且施工结束后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</w:rPr>
        <w:t>，成交供应商按采购人要求凭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eastAsia="zh-CN"/>
        </w:rPr>
        <w:t>增值税专用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</w:rPr>
        <w:t>发票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eastAsia="zh-CN"/>
        </w:rPr>
        <w:t>（若中标人自产的须提供自产农产品销售发票）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</w:rPr>
        <w:t>及相关证明文件向采购人申请付款，采购人收到申请后在15个工作日内结清全部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费用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</w:rPr>
        <w:t>。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eastAsia="zh-CN"/>
        </w:rPr>
        <w:t>踏勘现场：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本项目采购人不组织集中踏勘现场。投标供应商自行组织现场踏勘，如有疑义，均应于竞价文件中列明的网上询问截止时间前提交答疑。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pacing w:val="-1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在现场考察过程中，投标人如果发生人身伤亡、财务或其他损失，不论何种原因，采购人均不负责。投标供应商未参加对现场踏勘而不能获取准确的现场资料，由此可能产生的错误判断给投标人造成的损失由投标人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6、验收方法及标准：</w:t>
      </w:r>
      <w:bookmarkEnd w:id="0"/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按国家，行业技术标准和规范验收。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 xml:space="preserve">7、其他事项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（1）中标人应在规定时间内与采购人签订合同，并严格按照合同约定履行义务。自行提供相应的施工工具及安全防护设备。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（2）采购人将对中标人的提供的材料进行验收，如发现不符合要求的情况，有权要求成交人进行整改，情节严重的可解除合同，造成采购人损失的需承担赔偿。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D7563E"/>
    <w:multiLevelType w:val="singleLevel"/>
    <w:tmpl w:val="35D7563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wYjkwYzhkYmQ4YmQ3ZjI4Y2E0NzJlYjE3YjNjMDAifQ=="/>
  </w:docVars>
  <w:rsids>
    <w:rsidRoot w:val="00000000"/>
    <w:rsid w:val="4C3362A1"/>
    <w:rsid w:val="5513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仿宋"/>
      <w:b/>
      <w:bCs/>
      <w:kern w:val="44"/>
      <w:sz w:val="30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next w:val="1"/>
    <w:qFormat/>
    <w:uiPriority w:val="0"/>
    <w:rPr>
      <w:rFonts w:ascii="宋体" w:hAnsi="Courier New"/>
      <w:szCs w:val="20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2024-11-28T06:52:00Z</dcterms:created>
  <dc:creator>Administrator</dc:creator>
  <cp:lastModifiedBy>沫、若微笑</cp:lastModifiedBy>
  <dcterms:modified xsi:type="dcterms:W3CDTF">2024-11-29T01:24:42Z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CFB19269A1F742EC9257F9B0C0228018_12</vt:lpwstr>
  </property>
</Properties>
</file>