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kinsoku/>
        <w:overflowPunct/>
        <w:topLinePunct w:val="0"/>
        <w:bidi w:val="0"/>
        <w:spacing w:line="560" w:lineRule="exact"/>
        <w:textAlignment w:val="auto"/>
        <w:rPr>
          <w:rFonts w:hint="eastAsia" w:ascii="仿宋" w:hAnsi="仿宋" w:eastAsia="仿宋" w:cs="仿宋"/>
          <w:b/>
          <w:bCs/>
          <w:color w:val="auto"/>
          <w:sz w:val="36"/>
          <w:szCs w:val="36"/>
        </w:rPr>
      </w:pPr>
      <w:r>
        <w:rPr>
          <w:rFonts w:hint="eastAsia" w:ascii="仿宋" w:hAnsi="仿宋" w:eastAsia="仿宋" w:cs="仿宋"/>
          <w:color w:val="auto"/>
          <w:sz w:val="36"/>
          <w:szCs w:val="36"/>
          <w:lang w:eastAsia="zh-CN"/>
        </w:rPr>
        <w:t>服务</w:t>
      </w:r>
      <w:r>
        <w:rPr>
          <w:rFonts w:hint="eastAsia" w:ascii="仿宋" w:hAnsi="仿宋" w:eastAsia="仿宋" w:cs="仿宋"/>
          <w:color w:val="auto"/>
          <w:sz w:val="36"/>
          <w:szCs w:val="36"/>
        </w:rPr>
        <w:t>需求</w:t>
      </w:r>
    </w:p>
    <w:p>
      <w:pPr>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一、资质要求</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1.投标人要求：投标人须具有独立法人资格（不接受自然人投标），同时满足下列①、②项要求：</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①具有住房城乡建设主管部门颁发的电力工程施工总承包叁级及以上资质（或输变电工程专业承包叁级及以上资质）；</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②具有承装（修、试）电力设施许可证五级及以上。</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2.信誉要求：投标人及其法定代表人、拟派驻人员未被列入全国人民法院失信被执行人名单。</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3.其他要求：投标人在人员、设备、资金等方面应具有相应的施工能力。</w:t>
      </w:r>
    </w:p>
    <w:p>
      <w:pPr>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二、工作内容</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监狱（公司）所属电房、备用电源、办公区、监管区、监管设施、车间、生活区及所有电力设备的操作、维护、维修（收取材料费）、空压机房内部事务管理、协助监狱安全监督科对监狱原大观、肖坑片区用电安全检查等工作，具体包括：</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1.所属监狱的30KV高低压配电房1座（包括所有高低压柜、电力变压器、直流电源），柴油发电机组1座。</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2.所属公司1号配电房10KV高低压配电房1座（包括所有高低压柜、电力变压器、直流电源）。</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3.所属公司2号配电房30KV高低压配电房1座（包括所有高低压柜、电力变压器、直流电源）。</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4.由安庆供电公司产权分界点敷设至配电房的高压电力电缆。</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5.由配电房敷设至下级配电箱的低压电力电缆等</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6.遇有紧急维修任务必须确保足够技术人员到岗并在24小时间内予以完成。</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7.协同安全科对监狱原大观、肖坑用电情况一月不少于一次的用电安全检查</w:t>
      </w:r>
    </w:p>
    <w:p>
      <w:pPr>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三、托管要求</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1.定期不定期的对电气设备进行日常巡检、维护和保养。保证其正常运行，做好记录。</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2.分析甲方现行用电状况，制定甲方专属用电优化方案。</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3.监测甲方用电状况，如若巡检时出现能耗未达标情况，及时告知甲方，免人工费（收取材料费）进行整改。</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4.对电气设备进行故障检修或抢修工作。</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5.及时向委托方反馈在托管过程中发现的用电和安全隐患问题并提供用电建议和处理方案，以保证长期安全、经济用电。</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6.协助甲方做好预防触电和电气火灾的安全工作，提供故障应急方案。</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7.根据甲方要求，为甲方提供技术咨询及代办用电手续服务。</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8.按照国家规定和行业标准对电力设备等进行定期试验、清扫工作，出具报告，保证供电部门验收通过。</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9.对柴油发电机组进行年度维护保养，包括柴油机正常保养、更换滤清器、更换机油，发电机正常保养、调试。</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10.遇突发情况，甲方需要托管方立即提供协助的，托管方应在接到服务要求后2小时内抵达现场，协助甲方处理问题。</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11.托管方有义务帮助甲方做好节能降耗、降低电费的工作，合法运用电力优惠及补贴政策为委托方节省电力费用开支。</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12.托管方现场工作人员必须持证上岗。作业人员的配置和相关作业须达到当地供电部门和相关国家要求。</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13.服务过程中，如因托管方违规操作原因造成甲方设备损坏，托管方应负责无偿修复或更换，或者按该设备原购入价向甲方赔偿。</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14.托管方工作人员在管理过程中因管理不当造成的损害，但不限于对第三方的人身损害或财产损失，该等损失均由托管方自行承担。</w:t>
      </w:r>
    </w:p>
    <w:p>
      <w:pPr>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15.合同签订后托管方负责每年对甲方配电房设备进行年检及出具年检报告。</w:t>
      </w:r>
    </w:p>
    <w:p>
      <w:pPr>
        <w:rPr>
          <w:rFonts w:hint="eastAsia" w:ascii="华文楷体" w:hAnsi="华文楷体" w:eastAsia="华文楷体" w:cs="华文楷体"/>
          <w:color w:val="auto"/>
          <w:sz w:val="28"/>
          <w:szCs w:val="28"/>
        </w:rPr>
      </w:pPr>
    </w:p>
    <w:p>
      <w:pPr>
        <w:pStyle w:val="7"/>
        <w:pageBreakBefore w:val="0"/>
        <w:kinsoku/>
        <w:overflowPunct/>
        <w:topLinePunct w:val="0"/>
        <w:bidi w:val="0"/>
        <w:spacing w:line="560" w:lineRule="exact"/>
        <w:jc w:val="center"/>
        <w:textAlignment w:val="auto"/>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A49A2"/>
    <w:multiLevelType w:val="multilevel"/>
    <w:tmpl w:val="2F2A49A2"/>
    <w:lvl w:ilvl="0" w:tentative="0">
      <w:start w:val="1"/>
      <w:numFmt w:val="none"/>
      <w:pStyle w:val="7"/>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10"/>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73000FBB"/>
    <w:rsid w:val="02E02228"/>
    <w:rsid w:val="045E4692"/>
    <w:rsid w:val="06F469BB"/>
    <w:rsid w:val="0A5C2211"/>
    <w:rsid w:val="106250A3"/>
    <w:rsid w:val="13C16619"/>
    <w:rsid w:val="20817646"/>
    <w:rsid w:val="210C5CAC"/>
    <w:rsid w:val="21956EA7"/>
    <w:rsid w:val="29430597"/>
    <w:rsid w:val="2B454B53"/>
    <w:rsid w:val="2D0E480C"/>
    <w:rsid w:val="2DF172B8"/>
    <w:rsid w:val="32346F6E"/>
    <w:rsid w:val="338F0990"/>
    <w:rsid w:val="358C2805"/>
    <w:rsid w:val="39DA0B3A"/>
    <w:rsid w:val="3C4C5ED9"/>
    <w:rsid w:val="3D7D7E78"/>
    <w:rsid w:val="40584B2F"/>
    <w:rsid w:val="520B162D"/>
    <w:rsid w:val="558A781D"/>
    <w:rsid w:val="55E324F9"/>
    <w:rsid w:val="5C245548"/>
    <w:rsid w:val="69F65D30"/>
    <w:rsid w:val="6A3F4EDF"/>
    <w:rsid w:val="711D2041"/>
    <w:rsid w:val="71645CEB"/>
    <w:rsid w:val="73000FB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link w:val="13"/>
    <w:autoRedefine/>
    <w:qFormat/>
    <w:uiPriority w:val="0"/>
    <w:pPr>
      <w:keepNext/>
      <w:widowControl/>
      <w:numPr>
        <w:ilvl w:val="0"/>
        <w:numId w:val="1"/>
      </w:numPr>
      <w:ind w:left="0" w:firstLine="0"/>
      <w:jc w:val="center"/>
      <w:outlineLvl w:val="0"/>
    </w:pPr>
    <w:rPr>
      <w:rFonts w:ascii="宋体" w:hAnsi="宋体" w:eastAsia="宋体" w:cs="宋体"/>
      <w:b/>
      <w:kern w:val="0"/>
      <w:sz w:val="28"/>
      <w:szCs w:val="20"/>
    </w:rPr>
  </w:style>
  <w:style w:type="paragraph" w:styleId="8">
    <w:name w:val="heading 2"/>
    <w:basedOn w:val="1"/>
    <w:next w:val="9"/>
    <w:link w:val="14"/>
    <w:autoRedefine/>
    <w:semiHidden/>
    <w:unhideWhenUsed/>
    <w:qFormat/>
    <w:uiPriority w:val="0"/>
    <w:pPr>
      <w:keepNext/>
      <w:keepLines/>
      <w:widowControl/>
      <w:spacing w:line="360" w:lineRule="auto"/>
      <w:jc w:val="center"/>
      <w:outlineLvl w:val="1"/>
    </w:pPr>
    <w:rPr>
      <w:rFonts w:ascii="Arial" w:hAnsi="Arial" w:eastAsia="宋体" w:cs="Times New Roman"/>
      <w:b/>
      <w:kern w:val="0"/>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2">
    <w:name w:val="Default Paragraph Font"/>
    <w:autoRedefine/>
    <w:unhideWhenUsed/>
    <w:qFormat/>
    <w:uiPriority w:val="1"/>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autoRedefine/>
    <w:qFormat/>
    <w:uiPriority w:val="0"/>
    <w:pPr>
      <w:ind w:firstLine="420" w:firstLineChars="200"/>
    </w:pPr>
  </w:style>
  <w:style w:type="paragraph" w:styleId="3">
    <w:name w:val="Body Text Indent"/>
    <w:basedOn w:val="1"/>
    <w:next w:val="4"/>
    <w:autoRedefine/>
    <w:qFormat/>
    <w:uiPriority w:val="0"/>
    <w:pPr>
      <w:spacing w:after="120" w:afterLines="0" w:afterAutospacing="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styleId="6">
    <w:name w:val="toc 8"/>
    <w:basedOn w:val="1"/>
    <w:next w:val="1"/>
    <w:qFormat/>
    <w:uiPriority w:val="0"/>
    <w:pPr>
      <w:ind w:left="2940" w:leftChars="1400"/>
    </w:pPr>
  </w:style>
  <w:style w:type="paragraph" w:styleId="9">
    <w:name w:val="Normal Indent"/>
    <w:basedOn w:val="1"/>
    <w:autoRedefine/>
    <w:qFormat/>
    <w:uiPriority w:val="0"/>
    <w:pPr>
      <w:ind w:firstLine="420" w:firstLineChars="200"/>
    </w:pPr>
  </w:style>
  <w:style w:type="character" w:customStyle="1" w:styleId="13">
    <w:name w:val="标题 1 字符"/>
    <w:link w:val="7"/>
    <w:autoRedefine/>
    <w:qFormat/>
    <w:uiPriority w:val="0"/>
    <w:rPr>
      <w:rFonts w:ascii="宋体" w:hAnsi="宋体" w:eastAsia="宋体" w:cs="宋体"/>
      <w:b/>
      <w:bCs/>
      <w:snapToGrid w:val="0"/>
      <w:color w:val="000000"/>
      <w:kern w:val="44"/>
      <w:sz w:val="32"/>
      <w:szCs w:val="44"/>
      <w:lang w:eastAsia="en-US"/>
    </w:rPr>
  </w:style>
  <w:style w:type="character" w:customStyle="1" w:styleId="14">
    <w:name w:val="标题 2 Char"/>
    <w:basedOn w:val="12"/>
    <w:link w:val="8"/>
    <w:autoRedefine/>
    <w:semiHidden/>
    <w:qFormat/>
    <w:uiPriority w:val="9"/>
    <w:rPr>
      <w:rFonts w:ascii="Arial" w:hAnsi="Arial"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2025-02-19T06:10:00Z</dcterms:created>
  <dc:creator>周敏</dc:creator>
  <cp:lastModifiedBy>周敏</cp:lastModifiedBy>
  <dcterms:modified xsi:type="dcterms:W3CDTF">2025-02-19T06:11:02Z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9C462BA2435246B699467AF7FF1393D6_11</vt:lpwstr>
  </property>
</Properties>
</file>