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仿宋" w:hAnsi="仿宋" w:eastAsia="仿宋" w:cs="仿宋"/>
          <w:b w:val="0"/>
          <w:bCs w:val="0"/>
          <w:color w:val="1D1D20"/>
          <w:sz w:val="32"/>
          <w:szCs w:val="32"/>
        </w:rPr>
      </w:pPr>
      <w:r>
        <w:rPr>
          <w:rFonts w:hint="eastAsia" w:ascii="仿宋" w:hAnsi="仿宋" w:eastAsia="仿宋" w:cs="仿宋"/>
          <w:b/>
          <w:bCs/>
          <w:color w:val="1D1D20"/>
          <w:kern w:val="0"/>
          <w:sz w:val="32"/>
          <w:szCs w:val="32"/>
          <w:lang w:bidi="ar"/>
        </w:rPr>
        <w:t>采购需求</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一、服务需求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1.</w:t>
      </w:r>
      <w:r>
        <w:rPr>
          <w:rFonts w:hint="eastAsia" w:ascii="仿宋" w:hAnsi="仿宋" w:eastAsia="仿宋" w:cs="仿宋"/>
          <w:sz w:val="28"/>
          <w:szCs w:val="28"/>
          <w:lang w:val="en-US" w:eastAsia="zh-CN"/>
        </w:rPr>
        <w:t>安庆市宜秀区农村安全饮水巩固提升工程农村供水信息化建设及运行维护竣工</w:t>
      </w:r>
      <w:r>
        <w:rPr>
          <w:rFonts w:hint="eastAsia" w:ascii="仿宋" w:hAnsi="仿宋" w:eastAsia="仿宋" w:cs="仿宋"/>
          <w:b w:val="0"/>
          <w:bCs w:val="0"/>
          <w:snapToGrid w:val="0"/>
          <w:color w:val="1D1D20"/>
          <w:sz w:val="28"/>
          <w:szCs w:val="28"/>
          <w:lang w:val="en-US" w:eastAsia="zh-CN"/>
        </w:rPr>
        <w:t>抽检服务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highlight w:val="none"/>
          <w:lang w:val="en-US" w:eastAsia="zh-CN"/>
        </w:rPr>
      </w:pPr>
      <w:r>
        <w:rPr>
          <w:rFonts w:hint="eastAsia" w:ascii="仿宋" w:hAnsi="仿宋" w:eastAsia="仿宋" w:cs="仿宋"/>
          <w:b w:val="0"/>
          <w:bCs w:val="0"/>
          <w:snapToGrid w:val="0"/>
          <w:color w:val="1D1D20"/>
          <w:sz w:val="28"/>
          <w:szCs w:val="28"/>
          <w:highlight w:val="none"/>
          <w:lang w:val="en-US" w:eastAsia="zh-CN"/>
        </w:rPr>
        <w:t>（1）抽检范围：</w:t>
      </w:r>
      <w:r>
        <w:rPr>
          <w:rFonts w:hint="eastAsia" w:ascii="仿宋" w:hAnsi="仿宋" w:eastAsia="仿宋" w:cs="仿宋"/>
          <w:sz w:val="28"/>
          <w:szCs w:val="28"/>
          <w:highlight w:val="none"/>
          <w:lang w:val="en-US" w:eastAsia="zh-CN"/>
        </w:rPr>
        <w:t>安庆市宜秀区农村安全饮水巩固提升工程农村供水信息化建设及运行维护招标文件、投标文件及变更增加内容</w:t>
      </w:r>
      <w:r>
        <w:rPr>
          <w:rFonts w:hint="eastAsia" w:ascii="仿宋" w:hAnsi="仿宋" w:eastAsia="仿宋" w:cs="仿宋"/>
          <w:b w:val="0"/>
          <w:bCs w:val="0"/>
          <w:snapToGrid w:val="0"/>
          <w:color w:val="1D1D2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highlight w:val="none"/>
          <w:lang w:val="en-US" w:eastAsia="zh-CN"/>
        </w:rPr>
      </w:pPr>
      <w:r>
        <w:rPr>
          <w:rFonts w:hint="eastAsia" w:ascii="仿宋" w:hAnsi="仿宋" w:eastAsia="仿宋" w:cs="仿宋"/>
          <w:b w:val="0"/>
          <w:bCs w:val="0"/>
          <w:snapToGrid w:val="0"/>
          <w:color w:val="1D1D20"/>
          <w:sz w:val="28"/>
          <w:szCs w:val="28"/>
          <w:highlight w:val="none"/>
          <w:lang w:val="en-US" w:eastAsia="zh-CN"/>
        </w:rPr>
        <w:t>（2）抽检内容</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1）系统抽检测评。对智慧管控平台的功能性、性能效率、兼容性、易用性、可靠性、信息安全性、维护性、可移植性、文档进行测试，出具抽检检测报告，同时提供检测相关咨询服务。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2）工程检测。对项目中的指挥中心、会议系统、前端采集等软硬件系统进行检验检测，验证系统是否满足建设单位和项目实施单位的合同约定，包括正确性、一致性和可靠性，出具检测报告，同时提供检测相关咨询服务。</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 xml:space="preserve">3）成果交付。出具具备CMA标识的软件系统检测报告、出具具备CMA标识的覆盖网络系统、前端采集系统、机房工程等项目建设内容的工程检测报告。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（3）检测标准</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本次主要测试依据如下：</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《系统与软件工程系统与软件质量要求和评价（SQuaRE）第51分部分：就绪可用软件产品（RUSP）的质量要求和测试细则》GB/T25000.51-2016；</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《系统与软件工程系统与软件质量要求与评价(SQuaRE)第23 部分:系统与软件产品质量测量》GB/T 25000.23-2019；</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《系统与软件工程系统与软件质量要求和评价(SQuaRE)第 22 部分:使用质量测量》GB/T 25000.22-2019；</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《系统与软件工程系统与软件质量要求和评价（SQuaRE）第 10 部分：系统与软件质量模型》GB/T 25000.10-2016；</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《系统与软件工程系统与软件质量要求和评价（SQuaRE） 第 30 部分：质量需求框架》GB/T 25000.30-2021</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《信息安全技术移动智能终端应用软件安全技术要求和测试评价方法》GB/T 34975-2017；</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《软件测试成本度量规范》 GB/T 32911-2016</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《软件与系统工程软件测试工具能力》GB/T 41905-2022</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《功能模块 第 2 部分：软件工具要求》GB/T 19769.2-2022</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《数据采集软件的性能及校准方 法》GB/T 38888-2020</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《综合布线系统工程验收规范》50312-2016</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《数据中心设计规范》GB 50174-2017</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《基于以太网技术的局域网 (LAN)系统验收测试方法》GB/T 21671-2018</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《信息安全技术网络安全等级保护基本要求》GB/T 22239-2019；</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《信息安全 等级保护管理办法》（公通字 [2007]43 号）；</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《信息安全技术网络安全等级保护测评要求》GB/T28448-2019；</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其他国家、地方及行业相关的技术标准</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（4）抽检要求</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1）中标人应严格按照相关规范进行测评。</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2）中标人在开展抽检测评之前，应通知采购人做好相应的系统数据备份等工作，并明示具体的抽检测评方法、采用的测评工具、操作步骤、参与的人员以及可能出现的风险,经采购人签字确认后方可进行测评操作。</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3）中标人在采购人现场测评时，应遵守采购人的工作纪律,不破坏采购人的工作设备和软、硬件设施。</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4）中标人应按时完成测评工作，测评工作完毕后出具书面的测评报告。</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5）中标人出具的测评报告应包括对采购人被测评系统的测评结果及整改建议。</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6）采购人在按照整改建议整改过程中，中标人应提供免费咨询服务与技术指导。</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（5）抽检保密要求</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1）中标人及其工作团队人员需分别签署保密承诺书，并配合采购人核查中标人及其工作团队人员的诚信记录。在执行服务过程中应严格按照保密协议相关要求执行。</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2）中标人应保证软件评测资料只能由经指定的人员阅读，不能对其他人员泄漏。</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auto"/>
          <w:sz w:val="28"/>
          <w:szCs w:val="28"/>
          <w:highlight w:val="none"/>
          <w:lang w:val="en-US" w:eastAsia="zh-CN"/>
        </w:rPr>
      </w:pPr>
      <w:r>
        <w:rPr>
          <w:rFonts w:hint="eastAsia" w:ascii="仿宋" w:hAnsi="仿宋" w:eastAsia="仿宋" w:cs="仿宋"/>
          <w:b w:val="0"/>
          <w:bCs w:val="0"/>
          <w:snapToGrid w:val="0"/>
          <w:color w:val="auto"/>
          <w:sz w:val="28"/>
          <w:szCs w:val="28"/>
          <w:highlight w:val="none"/>
          <w:lang w:val="en-US" w:eastAsia="zh-CN"/>
        </w:rPr>
        <w:t>3）评测中涉及的所有项目资料不能在采购人未认可的场合进行交流。</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 xml:space="preserve">2.网络安全等保测评服务（二级或三级，以采购人系统定级为准）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 xml:space="preserve">（1）安全技术测评：物理安全、网络安全、主机安全、应用安全、数据安全。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 xml:space="preserve">（2）安全管理测评：安全管理制度、安全管理机构、人员安全管理、系统建设管理、系统运维管理。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（3）测评标准：依据《信息安全技术网络安全等级保护基本要求》（GB/T 22239-2019）等保2.0标准。</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 xml:space="preserve">测评流程：方案编制→现场测评→问题整改→报告编制→专家评审（如需）。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 xml:space="preserve"> （4）成果交付：初测报告（含问题清单）、复测报告（整改后）、最终测评报告（符合等保合规要求）。 安全加固建议方案（含配置策略、补丁更新等）。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 xml:space="preserve">3.其他服务。协助采购人完成等保备案、测评材料提交等行政手续。  </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三、服务人员要求</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 xml:space="preserve"> 1. 团队资质：</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项目负责人、检测人员、测评人员：具备项目经验。</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 xml:space="preserve">2.人员稳定性：项目期间核心人员不得随意更换，如需调整需提前5个工作日书面申请。  </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val="zh-CN" w:eastAsia="zh-CN"/>
        </w:rPr>
        <w:t>、商务要求</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rPr>
      </w:pPr>
      <w:bookmarkStart w:id="0" w:name="_Toc24273"/>
      <w:r>
        <w:rPr>
          <w:rFonts w:hint="eastAsia" w:ascii="仿宋" w:hAnsi="仿宋" w:eastAsia="仿宋" w:cs="仿宋"/>
          <w:b w:val="0"/>
          <w:bCs w:val="0"/>
          <w:color w:val="1D1D20"/>
          <w:sz w:val="28"/>
          <w:szCs w:val="28"/>
          <w:lang w:val="en-US" w:eastAsia="zh-CN"/>
        </w:rPr>
        <w:t>1、</w:t>
      </w:r>
      <w:r>
        <w:rPr>
          <w:rFonts w:hint="eastAsia" w:ascii="仿宋" w:hAnsi="仿宋" w:eastAsia="仿宋" w:cs="仿宋"/>
          <w:b w:val="0"/>
          <w:bCs w:val="0"/>
          <w:color w:val="1D1D20"/>
          <w:sz w:val="28"/>
          <w:szCs w:val="28"/>
        </w:rPr>
        <w:t>报价要求：</w:t>
      </w:r>
      <w:r>
        <w:rPr>
          <w:rFonts w:hint="eastAsia" w:ascii="仿宋" w:hAnsi="仿宋" w:eastAsia="仿宋" w:cs="仿宋"/>
          <w:b w:val="0"/>
          <w:bCs w:val="0"/>
          <w:snapToGrid w:val="0"/>
          <w:color w:val="1D1D20"/>
          <w:sz w:val="28"/>
          <w:szCs w:val="28"/>
        </w:rPr>
        <w:t>供应商的报价应包括：人员费用、</w:t>
      </w:r>
      <w:r>
        <w:rPr>
          <w:rFonts w:hint="eastAsia" w:ascii="仿宋" w:hAnsi="仿宋" w:eastAsia="仿宋" w:cs="仿宋"/>
          <w:b w:val="0"/>
          <w:bCs w:val="0"/>
          <w:snapToGrid w:val="0"/>
          <w:color w:val="1D1D20"/>
          <w:sz w:val="28"/>
          <w:szCs w:val="28"/>
          <w:lang w:eastAsia="zh-CN"/>
        </w:rPr>
        <w:t>培训</w:t>
      </w:r>
      <w:r>
        <w:rPr>
          <w:rFonts w:hint="eastAsia" w:ascii="仿宋" w:hAnsi="仿宋" w:eastAsia="仿宋" w:cs="仿宋"/>
          <w:b w:val="0"/>
          <w:bCs w:val="0"/>
          <w:snapToGrid w:val="0"/>
          <w:color w:val="1D1D20"/>
          <w:sz w:val="28"/>
          <w:szCs w:val="28"/>
        </w:rPr>
        <w:t>费用、</w:t>
      </w:r>
      <w:r>
        <w:rPr>
          <w:rFonts w:hint="eastAsia" w:ascii="仿宋" w:hAnsi="仿宋" w:eastAsia="仿宋" w:cs="仿宋"/>
          <w:b w:val="0"/>
          <w:bCs w:val="0"/>
          <w:snapToGrid w:val="0"/>
          <w:color w:val="1D1D20"/>
          <w:sz w:val="28"/>
          <w:szCs w:val="28"/>
          <w:lang w:val="en-US" w:eastAsia="zh-CN"/>
        </w:rPr>
        <w:t>交通</w:t>
      </w:r>
      <w:r>
        <w:rPr>
          <w:rFonts w:hint="eastAsia" w:ascii="仿宋" w:hAnsi="仿宋" w:eastAsia="仿宋" w:cs="仿宋"/>
          <w:b w:val="0"/>
          <w:bCs w:val="0"/>
          <w:snapToGrid w:val="0"/>
          <w:color w:val="1D1D20"/>
          <w:sz w:val="28"/>
          <w:szCs w:val="28"/>
        </w:rPr>
        <w:t>费</w:t>
      </w:r>
      <w:r>
        <w:rPr>
          <w:rFonts w:hint="eastAsia" w:ascii="仿宋" w:hAnsi="仿宋" w:eastAsia="仿宋" w:cs="仿宋"/>
          <w:b w:val="0"/>
          <w:bCs w:val="0"/>
          <w:snapToGrid w:val="0"/>
          <w:color w:val="1D1D20"/>
          <w:sz w:val="28"/>
          <w:szCs w:val="28"/>
          <w:lang w:val="en-US" w:eastAsia="zh-CN"/>
        </w:rPr>
        <w:t>用</w:t>
      </w:r>
      <w:r>
        <w:rPr>
          <w:rFonts w:hint="eastAsia" w:ascii="仿宋" w:hAnsi="仿宋" w:eastAsia="仿宋" w:cs="仿宋"/>
          <w:b w:val="0"/>
          <w:bCs w:val="0"/>
          <w:snapToGrid w:val="0"/>
          <w:color w:val="1D1D20"/>
          <w:sz w:val="28"/>
          <w:szCs w:val="28"/>
        </w:rPr>
        <w:t>、管理费及税金等为完成</w:t>
      </w:r>
      <w:r>
        <w:rPr>
          <w:rFonts w:hint="eastAsia" w:ascii="仿宋" w:hAnsi="仿宋" w:eastAsia="仿宋" w:cs="仿宋"/>
          <w:b w:val="0"/>
          <w:bCs w:val="0"/>
          <w:snapToGrid w:val="0"/>
          <w:color w:val="1D1D20"/>
          <w:sz w:val="28"/>
          <w:szCs w:val="28"/>
          <w:lang w:eastAsia="zh-CN"/>
        </w:rPr>
        <w:t>竞价</w:t>
      </w:r>
      <w:r>
        <w:rPr>
          <w:rFonts w:hint="eastAsia" w:ascii="仿宋" w:hAnsi="仿宋" w:eastAsia="仿宋" w:cs="仿宋"/>
          <w:b w:val="0"/>
          <w:bCs w:val="0"/>
          <w:snapToGrid w:val="0"/>
          <w:color w:val="1D1D20"/>
          <w:sz w:val="28"/>
          <w:szCs w:val="28"/>
        </w:rPr>
        <w:t>文件规定全部内容所需的一切应有费用。</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zh-CN" w:eastAsia="zh-CN"/>
        </w:rPr>
      </w:pPr>
      <w:r>
        <w:rPr>
          <w:rFonts w:hint="eastAsia" w:ascii="仿宋" w:hAnsi="仿宋" w:eastAsia="仿宋" w:cs="仿宋"/>
          <w:b w:val="0"/>
          <w:bCs w:val="0"/>
          <w:snapToGrid w:val="0"/>
          <w:color w:val="1D1D20"/>
          <w:sz w:val="28"/>
          <w:szCs w:val="28"/>
          <w:lang w:val="en-US" w:eastAsia="zh-CN"/>
        </w:rPr>
        <w:t>2、供货</w:t>
      </w:r>
      <w:r>
        <w:rPr>
          <w:rFonts w:hint="eastAsia" w:ascii="仿宋" w:hAnsi="仿宋" w:eastAsia="仿宋" w:cs="仿宋"/>
          <w:b w:val="0"/>
          <w:bCs w:val="0"/>
          <w:snapToGrid w:val="0"/>
          <w:color w:val="1D1D20"/>
          <w:sz w:val="28"/>
          <w:szCs w:val="28"/>
        </w:rPr>
        <w:t>地点：采购人指定地点</w:t>
      </w:r>
      <w:r>
        <w:rPr>
          <w:rFonts w:hint="eastAsia" w:ascii="仿宋" w:hAnsi="仿宋" w:eastAsia="仿宋" w:cs="仿宋"/>
          <w:b w:val="0"/>
          <w:bCs w:val="0"/>
          <w:snapToGrid w:val="0"/>
          <w:color w:val="1D1D2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3、付款及结算方式：</w:t>
      </w:r>
      <w:bookmarkStart w:id="1" w:name="OLE_LINK13"/>
      <w:r>
        <w:rPr>
          <w:rFonts w:hint="eastAsia" w:ascii="仿宋" w:hAnsi="仿宋" w:eastAsia="仿宋" w:cs="仿宋"/>
          <w:b w:val="0"/>
          <w:bCs w:val="0"/>
          <w:snapToGrid w:val="0"/>
          <w:color w:val="1D1D20"/>
          <w:sz w:val="28"/>
          <w:szCs w:val="28"/>
          <w:lang w:val="en-US" w:eastAsia="zh-CN"/>
        </w:rPr>
        <w:t>成交供应商提交竣工抽检报告后一次性付清合同价款。</w:t>
      </w:r>
    </w:p>
    <w:bookmarkEnd w:id="1"/>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pacing w:val="-1"/>
          <w:sz w:val="28"/>
          <w:szCs w:val="28"/>
          <w:highlight w:val="none"/>
          <w:lang w:val="en-US" w:eastAsia="zh-CN"/>
        </w:rPr>
      </w:pPr>
      <w:r>
        <w:rPr>
          <w:rFonts w:hint="eastAsia" w:ascii="仿宋" w:hAnsi="仿宋" w:eastAsia="仿宋" w:cs="仿宋"/>
          <w:b w:val="0"/>
          <w:bCs w:val="0"/>
          <w:color w:val="1D1D20"/>
          <w:sz w:val="28"/>
          <w:szCs w:val="28"/>
          <w:lang w:val="en-US" w:eastAsia="zh-CN"/>
        </w:rPr>
        <w:t>4、</w:t>
      </w:r>
      <w:r>
        <w:rPr>
          <w:rFonts w:hint="eastAsia" w:ascii="仿宋" w:hAnsi="仿宋" w:eastAsia="仿宋" w:cs="仿宋"/>
          <w:b w:val="0"/>
          <w:bCs w:val="0"/>
          <w:color w:val="1D1D20"/>
          <w:sz w:val="28"/>
          <w:szCs w:val="28"/>
          <w:lang w:eastAsia="zh-CN"/>
        </w:rPr>
        <w:t>踏勘现场：</w:t>
      </w:r>
      <w:r>
        <w:rPr>
          <w:rFonts w:hint="eastAsia" w:ascii="仿宋" w:hAnsi="仿宋" w:eastAsia="仿宋" w:cs="仿宋"/>
          <w:b w:val="0"/>
          <w:bCs w:val="0"/>
          <w:color w:val="1D1D20"/>
          <w:sz w:val="28"/>
          <w:szCs w:val="28"/>
          <w:highlight w:val="none"/>
          <w:lang w:val="en-US" w:eastAsia="zh-CN"/>
        </w:rPr>
        <w:t>本项目采购人不组织集中踏勘现场。</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color w:val="1D1D20"/>
          <w:sz w:val="28"/>
          <w:szCs w:val="28"/>
          <w:lang w:val="en-US" w:eastAsia="zh-CN"/>
        </w:rPr>
        <w:t>5、</w:t>
      </w:r>
      <w:r>
        <w:rPr>
          <w:rFonts w:hint="eastAsia" w:ascii="仿宋" w:hAnsi="仿宋" w:eastAsia="仿宋" w:cs="仿宋"/>
          <w:b w:val="0"/>
          <w:bCs w:val="0"/>
          <w:color w:val="1D1D20"/>
          <w:sz w:val="28"/>
          <w:szCs w:val="28"/>
        </w:rPr>
        <w:t>验收标准</w:t>
      </w:r>
      <w:r>
        <w:rPr>
          <w:rFonts w:hint="eastAsia" w:ascii="仿宋" w:hAnsi="仿宋" w:eastAsia="仿宋" w:cs="仿宋"/>
          <w:b w:val="0"/>
          <w:bCs w:val="0"/>
          <w:color w:val="1D1D20"/>
          <w:sz w:val="28"/>
          <w:szCs w:val="28"/>
          <w:lang w:eastAsia="zh-CN"/>
        </w:rPr>
        <w:t>：</w:t>
      </w:r>
      <w:r>
        <w:rPr>
          <w:rFonts w:hint="eastAsia" w:ascii="仿宋" w:hAnsi="仿宋" w:eastAsia="仿宋" w:cs="仿宋"/>
          <w:b w:val="0"/>
          <w:bCs w:val="0"/>
          <w:color w:val="1D1D20"/>
          <w:sz w:val="28"/>
          <w:szCs w:val="28"/>
          <w:highlight w:val="none"/>
          <w:lang w:val="en-US" w:eastAsia="zh-CN"/>
        </w:rPr>
        <w:t>通过国家和行业标准</w:t>
      </w:r>
      <w:bookmarkEnd w:id="0"/>
      <w:r>
        <w:rPr>
          <w:rFonts w:hint="eastAsia" w:ascii="仿宋" w:hAnsi="仿宋" w:eastAsia="仿宋" w:cs="仿宋"/>
          <w:b w:val="0"/>
          <w:bCs w:val="0"/>
          <w:color w:val="1D1D20"/>
          <w:sz w:val="28"/>
          <w:szCs w:val="28"/>
          <w:highlight w:val="none"/>
          <w:lang w:val="en-US" w:eastAsia="zh-CN"/>
        </w:rPr>
        <w:t>。</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0AFA9"/>
    <w:multiLevelType w:val="multilevel"/>
    <w:tmpl w:val="9590AFA9"/>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B4DC599E"/>
    <w:multiLevelType w:val="singleLevel"/>
    <w:tmpl w:val="B4DC599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2C8232D9"/>
    <w:rsid w:val="02E02228"/>
    <w:rsid w:val="045E4692"/>
    <w:rsid w:val="06F469BB"/>
    <w:rsid w:val="0A5C2211"/>
    <w:rsid w:val="0A71361E"/>
    <w:rsid w:val="106250A3"/>
    <w:rsid w:val="10D80231"/>
    <w:rsid w:val="110006C9"/>
    <w:rsid w:val="13C16619"/>
    <w:rsid w:val="155E0B40"/>
    <w:rsid w:val="20817646"/>
    <w:rsid w:val="210C5CAC"/>
    <w:rsid w:val="21956EA7"/>
    <w:rsid w:val="29430597"/>
    <w:rsid w:val="29886820"/>
    <w:rsid w:val="2B454B53"/>
    <w:rsid w:val="2C8232D9"/>
    <w:rsid w:val="2D0E480C"/>
    <w:rsid w:val="2DF172B8"/>
    <w:rsid w:val="32346F6E"/>
    <w:rsid w:val="338F0990"/>
    <w:rsid w:val="358C2805"/>
    <w:rsid w:val="39DA0B3A"/>
    <w:rsid w:val="39F55439"/>
    <w:rsid w:val="3C4C5ED9"/>
    <w:rsid w:val="3D7D7E78"/>
    <w:rsid w:val="40584B2F"/>
    <w:rsid w:val="4C1A471A"/>
    <w:rsid w:val="520B162D"/>
    <w:rsid w:val="558A781D"/>
    <w:rsid w:val="55E324F9"/>
    <w:rsid w:val="59191044"/>
    <w:rsid w:val="5C245548"/>
    <w:rsid w:val="5CD77497"/>
    <w:rsid w:val="67780A3D"/>
    <w:rsid w:val="69F65D30"/>
    <w:rsid w:val="6A3F4EDF"/>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kern w:val="2"/>
      <w:sz w:val="28"/>
      <w:szCs w:val="24"/>
      <w:lang w:val="en-US" w:eastAsia="zh-CN" w:bidi="ar-SA"/>
    </w:rPr>
  </w:style>
  <w:style w:type="paragraph" w:styleId="2">
    <w:name w:val="heading 1"/>
    <w:basedOn w:val="1"/>
    <w:next w:val="1"/>
    <w:link w:val="11"/>
    <w:autoRedefine/>
    <w:qFormat/>
    <w:uiPriority w:val="0"/>
    <w:pPr>
      <w:keepNext/>
      <w:widowControl/>
      <w:numPr>
        <w:ilvl w:val="0"/>
        <w:numId w:val="1"/>
      </w:numPr>
      <w:ind w:left="432" w:hanging="432"/>
      <w:jc w:val="center"/>
      <w:outlineLvl w:val="0"/>
    </w:pPr>
    <w:rPr>
      <w:rFonts w:ascii="宋体" w:hAnsi="宋体" w:eastAsia="宋体" w:cs="宋体"/>
      <w:b/>
      <w:snapToGrid w:val="0"/>
      <w:color w:val="000000"/>
      <w:kern w:val="0"/>
      <w:sz w:val="32"/>
      <w:szCs w:val="20"/>
      <w:lang w:eastAsia="en-US"/>
    </w:rPr>
  </w:style>
  <w:style w:type="paragraph" w:styleId="3">
    <w:name w:val="heading 2"/>
    <w:basedOn w:val="1"/>
    <w:next w:val="4"/>
    <w:link w:val="12"/>
    <w:semiHidden/>
    <w:unhideWhenUsed/>
    <w:qFormat/>
    <w:uiPriority w:val="0"/>
    <w:pPr>
      <w:keepNext/>
      <w:keepLines/>
      <w:widowControl/>
      <w:spacing w:line="240" w:lineRule="auto"/>
      <w:jc w:val="left"/>
      <w:outlineLvl w:val="1"/>
    </w:pPr>
    <w:rPr>
      <w:rFonts w:cs="Times New Roman" w:asciiTheme="minorEastAsia" w:hAnsiTheme="minorEastAsia" w:eastAsiaTheme="minorEastAsia"/>
      <w:b/>
      <w:snapToGrid w:val="0"/>
      <w:color w:val="000000"/>
      <w:kern w:val="0"/>
      <w:sz w:val="28"/>
      <w:szCs w:val="21"/>
      <w:lang w:eastAsia="en-US"/>
    </w:rPr>
  </w:style>
  <w:style w:type="paragraph" w:styleId="5">
    <w:name w:val="heading 3"/>
    <w:basedOn w:val="1"/>
    <w:next w:val="1"/>
    <w:autoRedefine/>
    <w:semiHidden/>
    <w:unhideWhenUsed/>
    <w:qFormat/>
    <w:uiPriority w:val="0"/>
    <w:pPr>
      <w:keepNext/>
      <w:keepLines/>
      <w:numPr>
        <w:ilvl w:val="2"/>
        <w:numId w:val="1"/>
      </w:numPr>
      <w:spacing w:beforeLines="0" w:beforeAutospacing="0" w:afterLines="0" w:afterAutospacing="0" w:line="240" w:lineRule="auto"/>
      <w:ind w:left="0" w:firstLine="0"/>
      <w:outlineLvl w:val="2"/>
    </w:pPr>
    <w:rPr>
      <w:rFonts w:ascii="宋体" w:hAnsi="宋体" w:eastAsia="宋体" w:cs="Arial"/>
      <w:snapToGrid w:val="0"/>
      <w:color w:val="000000"/>
      <w:sz w:val="24"/>
      <w:szCs w:val="21"/>
      <w:lang w:val="zh-CN" w:eastAsia="en-US" w:bidi="zh-CN"/>
    </w:rPr>
  </w:style>
  <w:style w:type="paragraph" w:styleId="6">
    <w:name w:val="heading 4"/>
    <w:basedOn w:val="1"/>
    <w:next w:val="1"/>
    <w:semiHidden/>
    <w:unhideWhenUsed/>
    <w:qFormat/>
    <w:uiPriority w:val="0"/>
    <w:pPr>
      <w:keepNext/>
      <w:keepLines/>
      <w:spacing w:beforeLines="0" w:beforeAutospacing="0" w:afterLines="0" w:afterAutospacing="0" w:line="240" w:lineRule="auto"/>
      <w:jc w:val="center"/>
      <w:outlineLvl w:val="3"/>
    </w:pPr>
    <w:rPr>
      <w:rFonts w:ascii="Arial" w:hAnsi="Arial" w:eastAsia="宋体" w:cs="Arial"/>
      <w:b/>
      <w:snapToGrid w:val="0"/>
      <w:color w:val="000000"/>
      <w:kern w:val="0"/>
      <w:sz w:val="28"/>
      <w:szCs w:val="21"/>
      <w:lang w:eastAsia="en-US"/>
    </w:rPr>
  </w:style>
  <w:style w:type="character" w:default="1" w:styleId="10">
    <w:name w:val="Default Paragraph Font"/>
    <w:autoRedefine/>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7">
    <w:name w:val="Body Text Indent"/>
    <w:basedOn w:val="1"/>
    <w:autoRedefine/>
    <w:qFormat/>
    <w:uiPriority w:val="0"/>
    <w:pPr>
      <w:spacing w:after="120" w:afterLines="0" w:afterAutospacing="0"/>
      <w:ind w:left="420" w:leftChars="200"/>
    </w:pPr>
  </w:style>
  <w:style w:type="paragraph" w:styleId="8">
    <w:name w:val="Body Text First Indent 2"/>
    <w:basedOn w:val="7"/>
    <w:autoRedefine/>
    <w:qFormat/>
    <w:uiPriority w:val="0"/>
    <w:pPr>
      <w:ind w:firstLine="420" w:firstLineChars="200"/>
    </w:pPr>
  </w:style>
  <w:style w:type="character" w:customStyle="1" w:styleId="11">
    <w:name w:val="标题 1 字符"/>
    <w:link w:val="2"/>
    <w:autoRedefine/>
    <w:qFormat/>
    <w:uiPriority w:val="0"/>
    <w:rPr>
      <w:rFonts w:ascii="宋体" w:hAnsi="宋体" w:eastAsia="宋体" w:cs="宋体"/>
      <w:b/>
      <w:bCs/>
      <w:snapToGrid w:val="0"/>
      <w:color w:val="000000"/>
      <w:kern w:val="0"/>
      <w:sz w:val="32"/>
      <w:szCs w:val="44"/>
      <w:lang w:eastAsia="en-US"/>
    </w:rPr>
  </w:style>
  <w:style w:type="character" w:customStyle="1" w:styleId="12">
    <w:name w:val="标题 2 Char"/>
    <w:basedOn w:val="10"/>
    <w:link w:val="3"/>
    <w:autoRedefine/>
    <w:semiHidden/>
    <w:qFormat/>
    <w:uiPriority w:val="9"/>
    <w:rPr>
      <w:rFonts w:cs="Times New Roman" w:asciiTheme="minorEastAsia" w:hAnsiTheme="minorEastAsia" w:eastAsiaTheme="minorEastAsia"/>
      <w:b/>
      <w:bCs/>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2025-04-10T06:28:00Z</dcterms:created>
  <dc:creator>周敏</dc:creator>
  <cp:lastModifiedBy>周敏</cp:lastModifiedBy>
  <dcterms:modified xsi:type="dcterms:W3CDTF">2025-04-10T06:29:00Z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E071D9082EAB44528356E041D305CA91_11</vt:lpwstr>
  </property>
</Properties>
</file>