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bidi w:val="0"/>
        <w:rPr>
          <w:rFonts w:hint="eastAsia" w:ascii="仿宋" w:hAnsi="仿宋" w:eastAsia="仿宋" w:cs="仿宋"/>
          <w:b w:val="0"/>
          <w:bCs w:val="0"/>
          <w:color w:val="auto"/>
          <w:sz w:val="36"/>
          <w:szCs w:val="36"/>
        </w:rPr>
      </w:pPr>
      <w:bookmarkStart w:id="3" w:name="_GoBack"/>
      <w:r>
        <w:rPr>
          <w:rFonts w:hint="eastAsia" w:ascii="仿宋" w:hAnsi="仿宋" w:eastAsia="仿宋" w:cs="仿宋"/>
          <w:b/>
          <w:bCs/>
          <w:color w:val="auto"/>
          <w:kern w:val="0"/>
          <w:sz w:val="36"/>
          <w:szCs w:val="36"/>
          <w:lang w:bidi="ar"/>
        </w:rPr>
        <w:t>采购需求</w:t>
      </w:r>
    </w:p>
    <w:bookmarkEnd w:id="3"/>
    <w:p>
      <w:pPr>
        <w:keepNext w:val="0"/>
        <w:keepLines w:val="0"/>
        <w:pageBreakBefore w:val="0"/>
        <w:widowControl w:val="0"/>
        <w:kinsoku/>
        <w:wordWrap/>
        <w:overflowPunct/>
        <w:topLinePunct w:val="0"/>
        <w:autoSpaceDE/>
        <w:autoSpaceDN/>
        <w:bidi w:val="0"/>
        <w:adjustRightInd/>
        <w:snapToGrid/>
        <w:spacing w:line="480" w:lineRule="exact"/>
        <w:ind w:firstLine="562" w:firstLineChars="200"/>
        <w:textAlignment w:val="auto"/>
        <w:rPr>
          <w:rFonts w:hint="default" w:ascii="仿宋" w:hAnsi="仿宋" w:eastAsia="仿宋" w:cs="仿宋"/>
          <w:b w:val="0"/>
          <w:bCs w:val="0"/>
          <w:snapToGrid w:val="0"/>
          <w:color w:val="auto"/>
          <w:sz w:val="28"/>
          <w:szCs w:val="28"/>
          <w:lang w:val="en-US" w:eastAsia="zh-CN"/>
        </w:rPr>
      </w:pPr>
      <w:bookmarkStart w:id="0" w:name="OLE_LINK11"/>
      <w:r>
        <w:rPr>
          <w:rFonts w:hint="eastAsia" w:ascii="仿宋" w:hAnsi="仿宋" w:eastAsia="仿宋" w:cs="仿宋"/>
          <w:b/>
          <w:bCs/>
          <w:color w:val="auto"/>
          <w:sz w:val="28"/>
          <w:szCs w:val="28"/>
          <w:lang w:val="en-US" w:eastAsia="zh-CN"/>
        </w:rPr>
        <w:t xml:space="preserve">一、水土保持监测服务需求 </w:t>
      </w:r>
    </w:p>
    <w:bookmarkEnd w:id="0"/>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b w:val="0"/>
          <w:bCs w:val="0"/>
          <w:snapToGrid w:val="0"/>
          <w:color w:val="auto"/>
          <w:sz w:val="28"/>
          <w:szCs w:val="28"/>
          <w:lang w:val="en-US" w:eastAsia="zh-CN"/>
        </w:rPr>
      </w:pPr>
      <w:r>
        <w:rPr>
          <w:rFonts w:hint="eastAsia" w:ascii="仿宋" w:hAnsi="仿宋" w:eastAsia="仿宋" w:cs="仿宋"/>
          <w:b w:val="0"/>
          <w:bCs w:val="0"/>
          <w:snapToGrid w:val="0"/>
          <w:color w:val="auto"/>
          <w:sz w:val="28"/>
          <w:szCs w:val="28"/>
          <w:lang w:val="en-US" w:eastAsia="zh-CN"/>
        </w:rPr>
        <w:t>1.水土保持监测内容</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b w:val="0"/>
          <w:bCs w:val="0"/>
          <w:snapToGrid w:val="0"/>
          <w:color w:val="auto"/>
          <w:sz w:val="28"/>
          <w:szCs w:val="28"/>
          <w:lang w:val="en-US" w:eastAsia="zh-CN"/>
        </w:rPr>
      </w:pPr>
      <w:r>
        <w:rPr>
          <w:rFonts w:hint="eastAsia" w:ascii="仿宋" w:hAnsi="仿宋" w:eastAsia="仿宋" w:cs="仿宋"/>
          <w:b w:val="0"/>
          <w:bCs w:val="0"/>
          <w:snapToGrid w:val="0"/>
          <w:color w:val="auto"/>
          <w:sz w:val="28"/>
          <w:szCs w:val="28"/>
          <w:lang w:val="en-US" w:eastAsia="zh-CN"/>
        </w:rPr>
        <w:t>主要包括项目</w:t>
      </w:r>
      <w:r>
        <w:rPr>
          <w:rFonts w:hint="eastAsia" w:ascii="仿宋" w:hAnsi="仿宋" w:eastAsia="仿宋" w:cs="仿宋"/>
          <w:b w:val="0"/>
          <w:bCs w:val="0"/>
          <w:snapToGrid w:val="0"/>
          <w:color w:val="auto"/>
          <w:sz w:val="28"/>
          <w:szCs w:val="28"/>
          <w:lang w:val="en-US" w:eastAsia="zh-CN"/>
        </w:rPr>
        <w:t>安庆市宜秀区农村安全饮水巩固提升工程</w:t>
      </w:r>
      <w:r>
        <w:rPr>
          <w:rFonts w:hint="eastAsia" w:ascii="仿宋" w:hAnsi="仿宋" w:eastAsia="仿宋" w:cs="仿宋"/>
          <w:b w:val="0"/>
          <w:bCs w:val="0"/>
          <w:snapToGrid w:val="0"/>
          <w:color w:val="auto"/>
          <w:sz w:val="28"/>
          <w:szCs w:val="28"/>
          <w:lang w:val="en-US" w:eastAsia="zh-CN"/>
        </w:rPr>
        <w:t>施工全过程各阶段扰动土地情况、水土流失状况、防治成效及水土流失危害等。</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b w:val="0"/>
          <w:bCs w:val="0"/>
          <w:snapToGrid w:val="0"/>
          <w:color w:val="auto"/>
          <w:sz w:val="28"/>
          <w:szCs w:val="28"/>
          <w:lang w:val="en-US" w:eastAsia="zh-CN"/>
        </w:rPr>
      </w:pPr>
      <w:r>
        <w:rPr>
          <w:rFonts w:hint="eastAsia" w:ascii="仿宋" w:hAnsi="仿宋" w:eastAsia="仿宋" w:cs="仿宋"/>
          <w:b w:val="0"/>
          <w:bCs w:val="0"/>
          <w:snapToGrid w:val="0"/>
          <w:color w:val="auto"/>
          <w:sz w:val="28"/>
          <w:szCs w:val="28"/>
          <w:lang w:val="en-US" w:eastAsia="zh-CN"/>
        </w:rPr>
        <w:t>（1）扰动土地情况监测</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b w:val="0"/>
          <w:bCs w:val="0"/>
          <w:snapToGrid w:val="0"/>
          <w:color w:val="auto"/>
          <w:sz w:val="28"/>
          <w:szCs w:val="28"/>
          <w:lang w:val="en-US" w:eastAsia="zh-CN"/>
        </w:rPr>
      </w:pPr>
      <w:r>
        <w:rPr>
          <w:rFonts w:hint="eastAsia" w:ascii="仿宋" w:hAnsi="仿宋" w:eastAsia="仿宋" w:cs="仿宋"/>
          <w:b w:val="0"/>
          <w:bCs w:val="0"/>
          <w:snapToGrid w:val="0"/>
          <w:color w:val="auto"/>
          <w:sz w:val="28"/>
          <w:szCs w:val="28"/>
          <w:lang w:val="en-US" w:eastAsia="zh-CN"/>
        </w:rPr>
        <w:t>包括扰动范围、面积、土地利用类型及其变化情况等。应重点监测实际发生的永久和临时占地、扰动地表植被面积、永久和临时弃渣量及变化情况等。</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b w:val="0"/>
          <w:bCs w:val="0"/>
          <w:snapToGrid w:val="0"/>
          <w:color w:val="auto"/>
          <w:sz w:val="28"/>
          <w:szCs w:val="28"/>
          <w:lang w:val="en-US" w:eastAsia="zh-CN"/>
        </w:rPr>
      </w:pPr>
      <w:r>
        <w:rPr>
          <w:rFonts w:hint="eastAsia" w:ascii="仿宋" w:hAnsi="仿宋" w:eastAsia="仿宋" w:cs="仿宋"/>
          <w:b w:val="0"/>
          <w:bCs w:val="0"/>
          <w:snapToGrid w:val="0"/>
          <w:color w:val="auto"/>
          <w:sz w:val="28"/>
          <w:szCs w:val="28"/>
          <w:lang w:val="en-US" w:eastAsia="zh-CN"/>
        </w:rPr>
        <w:t>（2）水土流失状况监测</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b w:val="0"/>
          <w:bCs w:val="0"/>
          <w:snapToGrid w:val="0"/>
          <w:color w:val="auto"/>
          <w:sz w:val="28"/>
          <w:szCs w:val="28"/>
          <w:lang w:val="en-US" w:eastAsia="zh-CN"/>
        </w:rPr>
      </w:pPr>
      <w:r>
        <w:rPr>
          <w:rFonts w:hint="eastAsia" w:ascii="仿宋" w:hAnsi="仿宋" w:eastAsia="仿宋" w:cs="仿宋"/>
          <w:b w:val="0"/>
          <w:bCs w:val="0"/>
          <w:snapToGrid w:val="0"/>
          <w:color w:val="auto"/>
          <w:sz w:val="28"/>
          <w:szCs w:val="28"/>
          <w:lang w:val="en-US" w:eastAsia="zh-CN"/>
        </w:rPr>
        <w:t>包括实际造成的水土流失面积、分布、土壤流失量及变化情况等。</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b w:val="0"/>
          <w:bCs w:val="0"/>
          <w:snapToGrid w:val="0"/>
          <w:color w:val="auto"/>
          <w:sz w:val="28"/>
          <w:szCs w:val="28"/>
          <w:lang w:val="en-US" w:eastAsia="zh-CN"/>
        </w:rPr>
      </w:pPr>
      <w:r>
        <w:rPr>
          <w:rFonts w:hint="eastAsia" w:ascii="仿宋" w:hAnsi="仿宋" w:eastAsia="仿宋" w:cs="仿宋"/>
          <w:b w:val="0"/>
          <w:bCs w:val="0"/>
          <w:snapToGrid w:val="0"/>
          <w:color w:val="auto"/>
          <w:sz w:val="28"/>
          <w:szCs w:val="28"/>
          <w:lang w:val="en-US" w:eastAsia="zh-CN"/>
        </w:rPr>
        <w:t>（3）水土流失防治成效</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b w:val="0"/>
          <w:bCs w:val="0"/>
          <w:snapToGrid w:val="0"/>
          <w:color w:val="auto"/>
          <w:sz w:val="28"/>
          <w:szCs w:val="28"/>
          <w:lang w:val="en-US" w:eastAsia="zh-CN"/>
        </w:rPr>
      </w:pPr>
      <w:r>
        <w:rPr>
          <w:rFonts w:hint="eastAsia" w:ascii="仿宋" w:hAnsi="仿宋" w:eastAsia="仿宋" w:cs="仿宋"/>
          <w:b w:val="0"/>
          <w:bCs w:val="0"/>
          <w:snapToGrid w:val="0"/>
          <w:color w:val="auto"/>
          <w:sz w:val="28"/>
          <w:szCs w:val="28"/>
          <w:lang w:val="en-US" w:eastAsia="zh-CN"/>
        </w:rPr>
        <w:t>主要包括实际采取水土保持工程、植物和临时措施的位置、数量，以及实施水土保持措施前后的防治效果对比情况等。</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b w:val="0"/>
          <w:bCs w:val="0"/>
          <w:snapToGrid w:val="0"/>
          <w:color w:val="auto"/>
          <w:sz w:val="28"/>
          <w:szCs w:val="28"/>
          <w:lang w:val="en-US" w:eastAsia="zh-CN"/>
        </w:rPr>
      </w:pPr>
      <w:r>
        <w:rPr>
          <w:rFonts w:hint="eastAsia" w:ascii="仿宋" w:hAnsi="仿宋" w:eastAsia="仿宋" w:cs="仿宋"/>
          <w:b w:val="0"/>
          <w:bCs w:val="0"/>
          <w:snapToGrid w:val="0"/>
          <w:color w:val="auto"/>
          <w:sz w:val="28"/>
          <w:szCs w:val="28"/>
          <w:lang w:val="en-US" w:eastAsia="zh-CN"/>
        </w:rPr>
        <w:t>（4）水土流失危害监测</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b w:val="0"/>
          <w:bCs w:val="0"/>
          <w:snapToGrid w:val="0"/>
          <w:color w:val="auto"/>
          <w:sz w:val="28"/>
          <w:szCs w:val="28"/>
          <w:lang w:val="en-US" w:eastAsia="zh-CN"/>
        </w:rPr>
      </w:pPr>
      <w:r>
        <w:rPr>
          <w:rFonts w:hint="eastAsia" w:ascii="仿宋" w:hAnsi="仿宋" w:eastAsia="仿宋" w:cs="仿宋"/>
          <w:b w:val="0"/>
          <w:bCs w:val="0"/>
          <w:snapToGrid w:val="0"/>
          <w:color w:val="auto"/>
          <w:sz w:val="28"/>
          <w:szCs w:val="28"/>
          <w:lang w:val="en-US" w:eastAsia="zh-CN"/>
        </w:rPr>
        <w:t>重点监测水土流失对主体工程、周边重要设施等造成的影响及危害等。</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b w:val="0"/>
          <w:bCs w:val="0"/>
          <w:snapToGrid w:val="0"/>
          <w:color w:val="auto"/>
          <w:sz w:val="28"/>
          <w:szCs w:val="28"/>
          <w:lang w:val="en-US" w:eastAsia="zh-CN"/>
        </w:rPr>
      </w:pPr>
      <w:r>
        <w:rPr>
          <w:rFonts w:hint="eastAsia" w:ascii="仿宋" w:hAnsi="仿宋" w:eastAsia="仿宋" w:cs="仿宋"/>
          <w:b w:val="0"/>
          <w:bCs w:val="0"/>
          <w:snapToGrid w:val="0"/>
          <w:color w:val="auto"/>
          <w:sz w:val="28"/>
          <w:szCs w:val="28"/>
          <w:lang w:val="en-US" w:eastAsia="zh-CN"/>
        </w:rPr>
        <w:t>2.监测点布置、方法</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b w:val="0"/>
          <w:bCs w:val="0"/>
          <w:snapToGrid w:val="0"/>
          <w:color w:val="auto"/>
          <w:sz w:val="28"/>
          <w:szCs w:val="28"/>
          <w:lang w:val="en-US" w:eastAsia="zh-CN"/>
        </w:rPr>
      </w:pPr>
      <w:r>
        <w:rPr>
          <w:rFonts w:hint="eastAsia" w:ascii="仿宋" w:hAnsi="仿宋" w:eastAsia="仿宋" w:cs="仿宋"/>
          <w:b w:val="0"/>
          <w:bCs w:val="0"/>
          <w:snapToGrid w:val="0"/>
          <w:color w:val="auto"/>
          <w:sz w:val="28"/>
          <w:szCs w:val="28"/>
          <w:lang w:val="en-US" w:eastAsia="zh-CN"/>
        </w:rPr>
        <w:t>水土保持监测站点布局应符合下列规定：①监测点的分布应反映项目所在区域的水土流失特征；②监测点应与项目构成和工程施工特性相适应；③监测点应按监测分区，根据监测重点布设，同时兼顾项目所涉及的行政区；监测点布设应统筹考虑监测内容，尽量布设综合监测点；⑤监测点应相对稳定，满足持续监测要求。</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b w:val="0"/>
          <w:bCs w:val="0"/>
          <w:snapToGrid w:val="0"/>
          <w:color w:val="auto"/>
          <w:sz w:val="28"/>
          <w:szCs w:val="28"/>
          <w:lang w:val="en-US" w:eastAsia="zh-CN"/>
        </w:rPr>
      </w:pPr>
      <w:r>
        <w:rPr>
          <w:rFonts w:hint="eastAsia" w:ascii="仿宋" w:hAnsi="仿宋" w:eastAsia="仿宋" w:cs="仿宋"/>
          <w:b w:val="0"/>
          <w:bCs w:val="0"/>
          <w:snapToGrid w:val="0"/>
          <w:color w:val="auto"/>
          <w:sz w:val="28"/>
          <w:szCs w:val="28"/>
          <w:lang w:val="en-US" w:eastAsia="zh-CN"/>
        </w:rPr>
        <w:t>水土保持监测站点的布设根据上述原则及考虑建设项目工程特点、扰动地表面积和特征、涉及的水土流失不同类型、扰动开挖和堆积形态、植被状况、水土保持设施及其布局，以及交通、通信等条件综合确定。</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b w:val="0"/>
          <w:bCs w:val="0"/>
          <w:snapToGrid w:val="0"/>
          <w:color w:val="auto"/>
          <w:sz w:val="28"/>
          <w:szCs w:val="28"/>
          <w:lang w:val="en-US" w:eastAsia="zh-CN"/>
        </w:rPr>
      </w:pPr>
      <w:r>
        <w:rPr>
          <w:rFonts w:hint="eastAsia" w:ascii="仿宋" w:hAnsi="仿宋" w:eastAsia="仿宋" w:cs="仿宋"/>
          <w:b w:val="0"/>
          <w:bCs w:val="0"/>
          <w:snapToGrid w:val="0"/>
          <w:color w:val="auto"/>
          <w:sz w:val="28"/>
          <w:szCs w:val="28"/>
          <w:lang w:val="en-US" w:eastAsia="zh-CN"/>
        </w:rPr>
        <w:t>3.监测方法与频次</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b w:val="0"/>
          <w:bCs w:val="0"/>
          <w:snapToGrid w:val="0"/>
          <w:color w:val="auto"/>
          <w:sz w:val="28"/>
          <w:szCs w:val="28"/>
          <w:lang w:val="en-US" w:eastAsia="zh-CN"/>
        </w:rPr>
      </w:pPr>
      <w:r>
        <w:rPr>
          <w:rFonts w:hint="eastAsia" w:ascii="仿宋" w:hAnsi="仿宋" w:eastAsia="仿宋" w:cs="仿宋"/>
          <w:b w:val="0"/>
          <w:bCs w:val="0"/>
          <w:snapToGrid w:val="0"/>
          <w:color w:val="auto"/>
          <w:sz w:val="28"/>
          <w:szCs w:val="28"/>
          <w:lang w:val="en-US" w:eastAsia="zh-CN"/>
        </w:rPr>
        <w:t>(1)监测方法</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b w:val="0"/>
          <w:bCs w:val="0"/>
          <w:snapToGrid w:val="0"/>
          <w:color w:val="auto"/>
          <w:sz w:val="28"/>
          <w:szCs w:val="28"/>
          <w:lang w:val="en-US" w:eastAsia="zh-CN"/>
        </w:rPr>
      </w:pPr>
      <w:r>
        <w:rPr>
          <w:rFonts w:hint="eastAsia" w:ascii="仿宋" w:hAnsi="仿宋" w:eastAsia="仿宋" w:cs="仿宋"/>
          <w:b w:val="0"/>
          <w:bCs w:val="0"/>
          <w:snapToGrid w:val="0"/>
          <w:color w:val="auto"/>
          <w:sz w:val="28"/>
          <w:szCs w:val="28"/>
          <w:lang w:val="en-US" w:eastAsia="zh-CN"/>
        </w:rPr>
        <w:t>监测方法采用调查监测、地面观测和遥感监测相结合的方法。</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b w:val="0"/>
          <w:bCs w:val="0"/>
          <w:snapToGrid w:val="0"/>
          <w:color w:val="auto"/>
          <w:sz w:val="28"/>
          <w:szCs w:val="28"/>
          <w:lang w:val="en-US" w:eastAsia="zh-CN"/>
        </w:rPr>
      </w:pPr>
      <w:r>
        <w:rPr>
          <w:rFonts w:hint="eastAsia" w:ascii="仿宋" w:hAnsi="仿宋" w:eastAsia="仿宋" w:cs="仿宋"/>
          <w:b w:val="0"/>
          <w:bCs w:val="0"/>
          <w:snapToGrid w:val="0"/>
          <w:color w:val="auto"/>
          <w:sz w:val="28"/>
          <w:szCs w:val="28"/>
          <w:lang w:val="en-US" w:eastAsia="zh-CN"/>
        </w:rPr>
        <w:t>对影响水土流失的主要因子如地形、地貌、水系、水利工程的变化、水土流失的危害、生态环境的变化以及水土保持方案实施等情况采用调查监测法；对重点监测区域和典型监测点的降雨量、风速、风向、水蚀强度、风蚀强度、水土保持措施的防护效果等主要采用地面观测法，遥感监测法辅以调查监测法。</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b w:val="0"/>
          <w:bCs w:val="0"/>
          <w:snapToGrid w:val="0"/>
          <w:color w:val="auto"/>
          <w:sz w:val="28"/>
          <w:szCs w:val="28"/>
          <w:lang w:val="en-US" w:eastAsia="zh-CN"/>
        </w:rPr>
      </w:pPr>
      <w:r>
        <w:rPr>
          <w:rFonts w:hint="eastAsia" w:ascii="仿宋" w:hAnsi="仿宋" w:eastAsia="仿宋" w:cs="仿宋"/>
          <w:b w:val="0"/>
          <w:bCs w:val="0"/>
          <w:snapToGrid w:val="0"/>
          <w:color w:val="auto"/>
          <w:sz w:val="28"/>
          <w:szCs w:val="28"/>
          <w:lang w:val="en-US" w:eastAsia="zh-CN"/>
        </w:rPr>
        <w:t>(2)监测频次</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b w:val="0"/>
          <w:bCs w:val="0"/>
          <w:snapToGrid w:val="0"/>
          <w:color w:val="auto"/>
          <w:sz w:val="28"/>
          <w:szCs w:val="28"/>
          <w:lang w:val="en-US" w:eastAsia="zh-CN"/>
        </w:rPr>
      </w:pPr>
      <w:r>
        <w:rPr>
          <w:rFonts w:hint="eastAsia" w:ascii="仿宋" w:hAnsi="仿宋" w:eastAsia="仿宋" w:cs="仿宋"/>
          <w:b w:val="0"/>
          <w:bCs w:val="0"/>
          <w:snapToGrid w:val="0"/>
          <w:color w:val="auto"/>
          <w:sz w:val="28"/>
          <w:szCs w:val="28"/>
          <w:lang w:val="en-US" w:eastAsia="zh-CN"/>
        </w:rPr>
        <w:t>扰动土地情况监测：监测频次应不少于每月1次，正在使用的取土弃渣场至少每两周监测1次；遥感监测应在施工前监测1次，施工期每年不少于1次。水土流失状况监测：土壤流失面积监测应不少于每季度1次，土壤流失量及潜在土壤流失量应不少于每月1次，发生强降水等 情况后应及时加测。弃土(石渣)监测：正在实施弃土(石、渣)方量、表土剥离情况不少于每10 天监测记录1次。</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b w:val="0"/>
          <w:bCs w:val="0"/>
          <w:snapToGrid w:val="0"/>
          <w:color w:val="auto"/>
          <w:sz w:val="28"/>
          <w:szCs w:val="28"/>
          <w:lang w:val="en-US" w:eastAsia="zh-CN"/>
        </w:rPr>
      </w:pPr>
      <w:r>
        <w:rPr>
          <w:rFonts w:hint="eastAsia" w:ascii="仿宋" w:hAnsi="仿宋" w:eastAsia="仿宋" w:cs="仿宋"/>
          <w:b w:val="0"/>
          <w:bCs w:val="0"/>
          <w:snapToGrid w:val="0"/>
          <w:color w:val="auto"/>
          <w:sz w:val="28"/>
          <w:szCs w:val="28"/>
          <w:lang w:val="en-US" w:eastAsia="zh-CN"/>
        </w:rPr>
        <w:t>水土流失防治成效监测：工程措施及防治效果不少于每月监测记录1 次；植物措施生长情况不少于每季度监测记录1次；临时措施不少于每月监测记录1次。水土流失危害监测结合上述内容一并开展。</w:t>
      </w:r>
    </w:p>
    <w:p>
      <w:pPr>
        <w:keepNext w:val="0"/>
        <w:keepLines w:val="0"/>
        <w:pageBreakBefore w:val="0"/>
        <w:widowControl w:val="0"/>
        <w:kinsoku/>
        <w:wordWrap/>
        <w:overflowPunct/>
        <w:topLinePunct w:val="0"/>
        <w:autoSpaceDE/>
        <w:autoSpaceDN/>
        <w:bidi w:val="0"/>
        <w:adjustRightInd/>
        <w:snapToGrid/>
        <w:spacing w:line="480" w:lineRule="exact"/>
        <w:ind w:firstLine="562" w:firstLineChars="200"/>
        <w:textAlignment w:val="auto"/>
        <w:rPr>
          <w:rFonts w:hint="default" w:ascii="仿宋" w:hAnsi="仿宋" w:eastAsia="仿宋" w:cs="仿宋"/>
          <w:b/>
          <w:bCs/>
          <w:color w:val="auto"/>
          <w:sz w:val="28"/>
          <w:szCs w:val="28"/>
          <w:lang w:val="en-US" w:eastAsia="zh-CN"/>
        </w:rPr>
      </w:pPr>
      <w:r>
        <w:rPr>
          <w:rFonts w:hint="eastAsia" w:ascii="仿宋" w:hAnsi="仿宋" w:eastAsia="仿宋" w:cs="仿宋"/>
          <w:b/>
          <w:bCs/>
          <w:color w:val="auto"/>
          <w:sz w:val="28"/>
          <w:szCs w:val="28"/>
          <w:lang w:val="en-US" w:eastAsia="zh-CN"/>
        </w:rPr>
        <w:t xml:space="preserve">二、水土保持竣工验收服务需求 </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b w:val="0"/>
          <w:bCs w:val="0"/>
          <w:snapToGrid w:val="0"/>
          <w:color w:val="auto"/>
          <w:sz w:val="28"/>
          <w:szCs w:val="28"/>
          <w:lang w:val="en-US" w:eastAsia="zh-CN"/>
        </w:rPr>
      </w:pPr>
      <w:r>
        <w:rPr>
          <w:rFonts w:hint="eastAsia" w:ascii="仿宋" w:hAnsi="仿宋" w:eastAsia="仿宋" w:cs="仿宋"/>
          <w:b w:val="0"/>
          <w:bCs w:val="0"/>
          <w:snapToGrid w:val="0"/>
          <w:color w:val="auto"/>
          <w:sz w:val="28"/>
          <w:szCs w:val="28"/>
          <w:lang w:val="en-US" w:eastAsia="zh-CN"/>
        </w:rPr>
        <w:t>验收主要内容：水土保持设施建设完成情况，水土保持设施质量，水土流失防治效果，水土保持设施的运行、管理及维护情况等。</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b w:val="0"/>
          <w:bCs w:val="0"/>
          <w:snapToGrid w:val="0"/>
          <w:color w:val="auto"/>
          <w:sz w:val="28"/>
          <w:szCs w:val="28"/>
          <w:lang w:val="en-US" w:eastAsia="zh-CN"/>
        </w:rPr>
      </w:pPr>
      <w:r>
        <w:rPr>
          <w:rFonts w:hint="eastAsia" w:ascii="仿宋" w:hAnsi="仿宋" w:eastAsia="仿宋" w:cs="仿宋"/>
          <w:b w:val="0"/>
          <w:bCs w:val="0"/>
          <w:snapToGrid w:val="0"/>
          <w:color w:val="auto"/>
          <w:sz w:val="28"/>
          <w:szCs w:val="28"/>
          <w:lang w:val="en-US" w:eastAsia="zh-CN"/>
        </w:rPr>
        <w:t>水土保持设施验收单位对验收内容进行梳理，对存在的问题及时通知并督促相关责任单位按有关要求完成相关工作；水土保持设施验收单位在各项工作完成的基础上应及时开展水土保持设 施自主验收报告编制。水土保持设施验收报告应符合水土保持设施验收报告示范文本的格式要求，对项目法人法定义务履行情况、水土流失防治任务完成情况、防治效果情况和组织管理情况等进行评价，对水土保持设施完成情况进行检查，编制水土保持设施验收报告。代理建设单位召开、承办(业主协助)验收会议，明确验收结论，并公开验收情况等；在完成水土保持设施自主验收 后，代理建设单位将相关验收材料《水土保持设施验收报告》、《水土保持监测总结报告》和《水土保持设施验收鉴定书》报原审批机关进行备案，并配合水行政主管部门的监督核查。</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b w:val="0"/>
          <w:bCs w:val="0"/>
          <w:snapToGrid w:val="0"/>
          <w:color w:val="auto"/>
          <w:sz w:val="28"/>
          <w:szCs w:val="28"/>
          <w:lang w:val="en-US" w:eastAsia="zh-CN"/>
        </w:rPr>
      </w:pPr>
      <w:r>
        <w:rPr>
          <w:rFonts w:hint="eastAsia" w:ascii="仿宋" w:hAnsi="仿宋" w:eastAsia="仿宋" w:cs="仿宋"/>
          <w:b w:val="0"/>
          <w:bCs w:val="0"/>
          <w:snapToGrid w:val="0"/>
          <w:color w:val="auto"/>
          <w:sz w:val="28"/>
          <w:szCs w:val="28"/>
          <w:lang w:val="en-US" w:eastAsia="zh-CN"/>
        </w:rPr>
        <w:t>依据项目水土保持验收服务合同及现场实际完成该项目现场水土保持验收工作，编制该项目 水土保持设施验收报告，核实该项目水土保持措施落实情况，及周边环境造成的环境影响，针对落实的水土保持措施分析水土流失防治效果，对存在的主要水土流失问题提出补救措施或建议。负责上报该工程水土保持专题的技术成果；对监测验收过程提出的问题负责解释，按要求对原技术成果进行修改、完善，直至取得水行政主管部门的验收备案。编制符合国家、地方和行业法律 法规、规程、规范及有关技术标准的《水土保持设施验收报告》必须满足甲方及水行政主管部门审批要求，对提交报告的正确性、有效性负责。</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b w:val="0"/>
          <w:bCs w:val="0"/>
          <w:snapToGrid w:val="0"/>
          <w:color w:val="auto"/>
          <w:sz w:val="28"/>
          <w:szCs w:val="28"/>
          <w:lang w:val="en-US" w:eastAsia="zh-CN"/>
        </w:rPr>
      </w:pPr>
      <w:r>
        <w:rPr>
          <w:rFonts w:hint="eastAsia" w:ascii="仿宋" w:hAnsi="仿宋" w:eastAsia="仿宋" w:cs="仿宋"/>
          <w:b w:val="0"/>
          <w:bCs w:val="0"/>
          <w:snapToGrid w:val="0"/>
          <w:color w:val="auto"/>
          <w:sz w:val="28"/>
          <w:szCs w:val="28"/>
          <w:lang w:val="en-US" w:eastAsia="zh-CN"/>
        </w:rPr>
        <w:t>提出水土保持工程档案清单和责任单位，配合项目法人做好水土保持档案收集、整理、归档工作。配合做好各级主管部门开展的与水土保持相关的稽查、检查工作，按照稽查、检查要求准备相关档案资料，并督促各参建单位做好整改，协助项目法人完成整改资料的收集、整理、上报、 归档等。</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default" w:ascii="仿宋" w:hAnsi="仿宋" w:eastAsia="仿宋" w:cs="仿宋"/>
          <w:b w:val="0"/>
          <w:bCs w:val="0"/>
          <w:snapToGrid w:val="0"/>
          <w:color w:val="auto"/>
          <w:sz w:val="28"/>
          <w:szCs w:val="28"/>
          <w:lang w:val="en-US" w:eastAsia="zh-CN"/>
        </w:rPr>
      </w:pPr>
      <w:r>
        <w:rPr>
          <w:rFonts w:hint="eastAsia" w:ascii="仿宋" w:hAnsi="仿宋" w:eastAsia="仿宋" w:cs="仿宋"/>
          <w:b w:val="0"/>
          <w:bCs w:val="0"/>
          <w:snapToGrid w:val="0"/>
          <w:color w:val="auto"/>
          <w:sz w:val="28"/>
          <w:szCs w:val="28"/>
          <w:lang w:val="en-US" w:eastAsia="zh-CN"/>
        </w:rPr>
        <w:t>根据《生产建设项目水土保持方案管理办法》（2023年1月17日水利部令第53号发布），水土保持监测单位与水土保持设施验收单位不能为同一家，中标单位可以委托水土保持设施验收与其他有能力的单位。</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仿宋" w:hAnsi="仿宋" w:eastAsia="仿宋" w:cs="仿宋"/>
          <w:b/>
          <w:bCs/>
          <w:color w:val="auto"/>
          <w:sz w:val="28"/>
          <w:szCs w:val="28"/>
          <w:lang w:val="en-US" w:eastAsia="zh-CN"/>
        </w:rPr>
      </w:pPr>
      <w:r>
        <w:rPr>
          <w:rFonts w:hint="eastAsia" w:ascii="仿宋" w:hAnsi="仿宋" w:eastAsia="仿宋" w:cs="仿宋"/>
          <w:b/>
          <w:bCs/>
          <w:color w:val="auto"/>
          <w:sz w:val="28"/>
          <w:szCs w:val="28"/>
          <w:lang w:val="en-US" w:eastAsia="zh-CN"/>
        </w:rPr>
        <w:t>二</w:t>
      </w:r>
      <w:r>
        <w:rPr>
          <w:rFonts w:hint="eastAsia" w:ascii="仿宋" w:hAnsi="仿宋" w:eastAsia="仿宋" w:cs="仿宋"/>
          <w:b/>
          <w:bCs/>
          <w:color w:val="auto"/>
          <w:sz w:val="28"/>
          <w:szCs w:val="28"/>
          <w:lang w:val="zh-CN" w:eastAsia="zh-CN"/>
        </w:rPr>
        <w:t>、商务要求</w:t>
      </w:r>
    </w:p>
    <w:p>
      <w:pPr>
        <w:keepNext w:val="0"/>
        <w:keepLines w:val="0"/>
        <w:pageBreakBefore w:val="0"/>
        <w:widowControl w:val="0"/>
        <w:kinsoku/>
        <w:wordWrap/>
        <w:overflowPunct/>
        <w:topLinePunct w:val="0"/>
        <w:autoSpaceDE/>
        <w:autoSpaceDN/>
        <w:bidi w:val="0"/>
        <w:adjustRightInd/>
        <w:snapToGrid/>
        <w:spacing w:line="480" w:lineRule="exact"/>
        <w:ind w:left="0" w:firstLine="560" w:firstLineChars="200"/>
        <w:textAlignment w:val="auto"/>
        <w:rPr>
          <w:rFonts w:hint="eastAsia" w:ascii="仿宋" w:hAnsi="仿宋" w:eastAsia="仿宋" w:cs="仿宋"/>
          <w:b w:val="0"/>
          <w:bCs w:val="0"/>
          <w:snapToGrid w:val="0"/>
          <w:color w:val="auto"/>
          <w:sz w:val="28"/>
          <w:szCs w:val="28"/>
        </w:rPr>
      </w:pPr>
      <w:bookmarkStart w:id="1" w:name="_Toc24273"/>
      <w:r>
        <w:rPr>
          <w:rFonts w:hint="eastAsia" w:ascii="仿宋" w:hAnsi="仿宋" w:eastAsia="仿宋" w:cs="仿宋"/>
          <w:b w:val="0"/>
          <w:bCs w:val="0"/>
          <w:color w:val="auto"/>
          <w:sz w:val="28"/>
          <w:szCs w:val="28"/>
          <w:lang w:val="en-US" w:eastAsia="zh-CN"/>
        </w:rPr>
        <w:t>1、</w:t>
      </w:r>
      <w:r>
        <w:rPr>
          <w:rFonts w:hint="eastAsia" w:ascii="仿宋" w:hAnsi="仿宋" w:eastAsia="仿宋" w:cs="仿宋"/>
          <w:b w:val="0"/>
          <w:bCs w:val="0"/>
          <w:color w:val="auto"/>
          <w:sz w:val="28"/>
          <w:szCs w:val="28"/>
        </w:rPr>
        <w:t>报价要求：</w:t>
      </w:r>
      <w:r>
        <w:rPr>
          <w:rFonts w:hint="eastAsia" w:ascii="仿宋" w:hAnsi="仿宋" w:eastAsia="仿宋" w:cs="仿宋"/>
          <w:b w:val="0"/>
          <w:bCs w:val="0"/>
          <w:snapToGrid w:val="0"/>
          <w:color w:val="auto"/>
          <w:sz w:val="28"/>
          <w:szCs w:val="28"/>
        </w:rPr>
        <w:t>供应商的报价应包括：人员费用、</w:t>
      </w:r>
      <w:r>
        <w:rPr>
          <w:rFonts w:hint="eastAsia" w:ascii="仿宋" w:hAnsi="仿宋" w:eastAsia="仿宋" w:cs="仿宋"/>
          <w:b w:val="0"/>
          <w:bCs w:val="0"/>
          <w:snapToGrid w:val="0"/>
          <w:color w:val="auto"/>
          <w:sz w:val="28"/>
          <w:szCs w:val="28"/>
          <w:lang w:eastAsia="zh-CN"/>
        </w:rPr>
        <w:t>机械</w:t>
      </w:r>
      <w:r>
        <w:rPr>
          <w:rFonts w:hint="eastAsia" w:ascii="仿宋" w:hAnsi="仿宋" w:eastAsia="仿宋" w:cs="仿宋"/>
          <w:b w:val="0"/>
          <w:bCs w:val="0"/>
          <w:snapToGrid w:val="0"/>
          <w:color w:val="auto"/>
          <w:sz w:val="28"/>
          <w:szCs w:val="28"/>
        </w:rPr>
        <w:t>费用、</w:t>
      </w:r>
      <w:r>
        <w:rPr>
          <w:rFonts w:hint="eastAsia" w:ascii="仿宋" w:hAnsi="仿宋" w:eastAsia="仿宋" w:cs="仿宋"/>
          <w:b w:val="0"/>
          <w:bCs w:val="0"/>
          <w:snapToGrid w:val="0"/>
          <w:color w:val="auto"/>
          <w:sz w:val="28"/>
          <w:szCs w:val="28"/>
          <w:lang w:val="en-US" w:eastAsia="zh-CN"/>
        </w:rPr>
        <w:t>交通</w:t>
      </w:r>
      <w:r>
        <w:rPr>
          <w:rFonts w:hint="eastAsia" w:ascii="仿宋" w:hAnsi="仿宋" w:eastAsia="仿宋" w:cs="仿宋"/>
          <w:b w:val="0"/>
          <w:bCs w:val="0"/>
          <w:snapToGrid w:val="0"/>
          <w:color w:val="auto"/>
          <w:sz w:val="28"/>
          <w:szCs w:val="28"/>
        </w:rPr>
        <w:t>费</w:t>
      </w:r>
      <w:r>
        <w:rPr>
          <w:rFonts w:hint="eastAsia" w:ascii="仿宋" w:hAnsi="仿宋" w:eastAsia="仿宋" w:cs="仿宋"/>
          <w:b w:val="0"/>
          <w:bCs w:val="0"/>
          <w:snapToGrid w:val="0"/>
          <w:color w:val="auto"/>
          <w:sz w:val="28"/>
          <w:szCs w:val="28"/>
          <w:lang w:val="en-US" w:eastAsia="zh-CN"/>
        </w:rPr>
        <w:t>用</w:t>
      </w:r>
      <w:r>
        <w:rPr>
          <w:rFonts w:hint="eastAsia" w:ascii="仿宋" w:hAnsi="仿宋" w:eastAsia="仿宋" w:cs="仿宋"/>
          <w:b w:val="0"/>
          <w:bCs w:val="0"/>
          <w:snapToGrid w:val="0"/>
          <w:color w:val="auto"/>
          <w:sz w:val="28"/>
          <w:szCs w:val="28"/>
        </w:rPr>
        <w:t>、管理费及税金等为完成</w:t>
      </w:r>
      <w:r>
        <w:rPr>
          <w:rFonts w:hint="eastAsia" w:ascii="仿宋" w:hAnsi="仿宋" w:eastAsia="仿宋" w:cs="仿宋"/>
          <w:b w:val="0"/>
          <w:bCs w:val="0"/>
          <w:snapToGrid w:val="0"/>
          <w:color w:val="auto"/>
          <w:sz w:val="28"/>
          <w:szCs w:val="28"/>
          <w:lang w:eastAsia="zh-CN"/>
        </w:rPr>
        <w:t>竞价</w:t>
      </w:r>
      <w:r>
        <w:rPr>
          <w:rFonts w:hint="eastAsia" w:ascii="仿宋" w:hAnsi="仿宋" w:eastAsia="仿宋" w:cs="仿宋"/>
          <w:b w:val="0"/>
          <w:bCs w:val="0"/>
          <w:snapToGrid w:val="0"/>
          <w:color w:val="auto"/>
          <w:sz w:val="28"/>
          <w:szCs w:val="28"/>
        </w:rPr>
        <w:t>文件规定全部内容所需的一切应有费用。</w:t>
      </w:r>
    </w:p>
    <w:p>
      <w:pPr>
        <w:keepNext w:val="0"/>
        <w:keepLines w:val="0"/>
        <w:pageBreakBefore w:val="0"/>
        <w:widowControl w:val="0"/>
        <w:kinsoku/>
        <w:wordWrap/>
        <w:overflowPunct/>
        <w:topLinePunct w:val="0"/>
        <w:autoSpaceDE/>
        <w:autoSpaceDN/>
        <w:bidi w:val="0"/>
        <w:adjustRightInd/>
        <w:snapToGrid/>
        <w:spacing w:line="480" w:lineRule="exact"/>
        <w:ind w:left="0" w:firstLine="560" w:firstLineChars="200"/>
        <w:textAlignment w:val="auto"/>
        <w:rPr>
          <w:rFonts w:hint="eastAsia" w:ascii="仿宋" w:hAnsi="仿宋" w:eastAsia="仿宋" w:cs="仿宋"/>
          <w:b w:val="0"/>
          <w:bCs w:val="0"/>
          <w:snapToGrid w:val="0"/>
          <w:color w:val="auto"/>
          <w:sz w:val="28"/>
          <w:szCs w:val="28"/>
          <w:lang w:val="zh-CN" w:eastAsia="zh-CN"/>
        </w:rPr>
      </w:pPr>
      <w:r>
        <w:rPr>
          <w:rFonts w:hint="eastAsia" w:ascii="仿宋" w:hAnsi="仿宋" w:eastAsia="仿宋" w:cs="仿宋"/>
          <w:b w:val="0"/>
          <w:bCs w:val="0"/>
          <w:snapToGrid w:val="0"/>
          <w:color w:val="auto"/>
          <w:sz w:val="28"/>
          <w:szCs w:val="28"/>
          <w:lang w:val="en-US" w:eastAsia="zh-CN"/>
        </w:rPr>
        <w:t>2、供货</w:t>
      </w:r>
      <w:r>
        <w:rPr>
          <w:rFonts w:hint="eastAsia" w:ascii="仿宋" w:hAnsi="仿宋" w:eastAsia="仿宋" w:cs="仿宋"/>
          <w:b w:val="0"/>
          <w:bCs w:val="0"/>
          <w:snapToGrid w:val="0"/>
          <w:color w:val="auto"/>
          <w:sz w:val="28"/>
          <w:szCs w:val="28"/>
        </w:rPr>
        <w:t>地点：采购人指定地点</w:t>
      </w:r>
      <w:r>
        <w:rPr>
          <w:rFonts w:hint="eastAsia" w:ascii="仿宋" w:hAnsi="仿宋" w:eastAsia="仿宋" w:cs="仿宋"/>
          <w:b w:val="0"/>
          <w:bCs w:val="0"/>
          <w:snapToGrid w:val="0"/>
          <w:color w:val="auto"/>
          <w:sz w:val="28"/>
          <w:szCs w:val="28"/>
          <w:lang w:eastAsia="zh-CN"/>
        </w:rPr>
        <w:t>。</w:t>
      </w:r>
    </w:p>
    <w:p>
      <w:pPr>
        <w:keepNext w:val="0"/>
        <w:keepLines w:val="0"/>
        <w:pageBreakBefore w:val="0"/>
        <w:widowControl w:val="0"/>
        <w:kinsoku/>
        <w:wordWrap/>
        <w:overflowPunct/>
        <w:topLinePunct w:val="0"/>
        <w:autoSpaceDE/>
        <w:autoSpaceDN/>
        <w:bidi w:val="0"/>
        <w:adjustRightInd/>
        <w:snapToGrid/>
        <w:spacing w:line="480" w:lineRule="exact"/>
        <w:ind w:left="0" w:firstLine="560" w:firstLineChars="200"/>
        <w:textAlignment w:val="auto"/>
        <w:rPr>
          <w:rFonts w:hint="eastAsia" w:ascii="仿宋" w:hAnsi="仿宋" w:eastAsia="仿宋" w:cs="仿宋"/>
          <w:b w:val="0"/>
          <w:bCs w:val="0"/>
          <w:snapToGrid w:val="0"/>
          <w:color w:val="auto"/>
          <w:sz w:val="28"/>
          <w:szCs w:val="28"/>
          <w:lang w:val="en-US" w:eastAsia="zh-CN"/>
        </w:rPr>
      </w:pPr>
      <w:r>
        <w:rPr>
          <w:rFonts w:hint="eastAsia" w:ascii="仿宋" w:hAnsi="仿宋" w:eastAsia="仿宋" w:cs="仿宋"/>
          <w:b w:val="0"/>
          <w:bCs w:val="0"/>
          <w:snapToGrid w:val="0"/>
          <w:color w:val="auto"/>
          <w:sz w:val="28"/>
          <w:szCs w:val="28"/>
          <w:lang w:val="en-US" w:eastAsia="zh-CN"/>
        </w:rPr>
        <w:t>3、付款及结算方式：</w:t>
      </w:r>
      <w:bookmarkStart w:id="2" w:name="OLE_LINK13"/>
      <w:r>
        <w:rPr>
          <w:rFonts w:hint="eastAsia" w:ascii="仿宋" w:hAnsi="仿宋" w:eastAsia="仿宋" w:cs="仿宋"/>
          <w:b w:val="0"/>
          <w:bCs w:val="0"/>
          <w:snapToGrid w:val="0"/>
          <w:color w:val="auto"/>
          <w:sz w:val="28"/>
          <w:szCs w:val="28"/>
          <w:lang w:val="en-US" w:eastAsia="zh-CN"/>
        </w:rPr>
        <w:t>竣工验收后一次性付清合同价款。</w:t>
      </w:r>
    </w:p>
    <w:bookmarkEnd w:id="2"/>
    <w:p>
      <w:pPr>
        <w:keepNext w:val="0"/>
        <w:keepLines w:val="0"/>
        <w:pageBreakBefore w:val="0"/>
        <w:widowControl w:val="0"/>
        <w:kinsoku/>
        <w:wordWrap/>
        <w:overflowPunct/>
        <w:topLinePunct w:val="0"/>
        <w:autoSpaceDE/>
        <w:autoSpaceDN/>
        <w:bidi w:val="0"/>
        <w:adjustRightInd/>
        <w:snapToGrid/>
        <w:spacing w:line="480" w:lineRule="exact"/>
        <w:ind w:left="0" w:firstLine="560" w:firstLineChars="200"/>
        <w:textAlignment w:val="auto"/>
        <w:rPr>
          <w:rFonts w:hint="eastAsia" w:ascii="仿宋" w:hAnsi="仿宋" w:eastAsia="仿宋" w:cs="仿宋"/>
          <w:b w:val="0"/>
          <w:bCs w:val="0"/>
          <w:color w:val="auto"/>
          <w:spacing w:val="-1"/>
          <w:sz w:val="28"/>
          <w:szCs w:val="28"/>
          <w:highlight w:val="none"/>
          <w:lang w:val="en-US" w:eastAsia="zh-CN"/>
        </w:rPr>
      </w:pPr>
      <w:r>
        <w:rPr>
          <w:rFonts w:hint="eastAsia" w:ascii="仿宋" w:hAnsi="仿宋" w:eastAsia="仿宋" w:cs="仿宋"/>
          <w:b w:val="0"/>
          <w:bCs w:val="0"/>
          <w:color w:val="auto"/>
          <w:sz w:val="28"/>
          <w:szCs w:val="28"/>
          <w:lang w:val="en-US" w:eastAsia="zh-CN"/>
        </w:rPr>
        <w:t>4、</w:t>
      </w:r>
      <w:r>
        <w:rPr>
          <w:rFonts w:hint="eastAsia" w:ascii="仿宋" w:hAnsi="仿宋" w:eastAsia="仿宋" w:cs="仿宋"/>
          <w:b w:val="0"/>
          <w:bCs w:val="0"/>
          <w:color w:val="auto"/>
          <w:sz w:val="28"/>
          <w:szCs w:val="28"/>
          <w:lang w:eastAsia="zh-CN"/>
        </w:rPr>
        <w:t>踏勘现场：</w:t>
      </w:r>
      <w:r>
        <w:rPr>
          <w:rFonts w:hint="eastAsia" w:ascii="仿宋" w:hAnsi="仿宋" w:eastAsia="仿宋" w:cs="仿宋"/>
          <w:b w:val="0"/>
          <w:bCs w:val="0"/>
          <w:color w:val="auto"/>
          <w:sz w:val="28"/>
          <w:szCs w:val="28"/>
          <w:highlight w:val="none"/>
          <w:lang w:val="en-US" w:eastAsia="zh-CN"/>
        </w:rPr>
        <w:t>本项目采购人不组织集中踏勘现场。</w:t>
      </w:r>
    </w:p>
    <w:p>
      <w:pPr>
        <w:keepNext w:val="0"/>
        <w:keepLines w:val="0"/>
        <w:pageBreakBefore w:val="0"/>
        <w:widowControl w:val="0"/>
        <w:kinsoku/>
        <w:wordWrap/>
        <w:overflowPunct/>
        <w:topLinePunct w:val="0"/>
        <w:autoSpaceDE/>
        <w:autoSpaceDN/>
        <w:bidi w:val="0"/>
        <w:adjustRightInd/>
        <w:snapToGrid/>
        <w:spacing w:line="480" w:lineRule="exact"/>
        <w:ind w:left="0" w:firstLine="560" w:firstLineChars="200"/>
        <w:textAlignment w:val="auto"/>
        <w:rPr>
          <w:rFonts w:hint="eastAsia" w:ascii="仿宋" w:hAnsi="仿宋" w:eastAsia="仿宋" w:cs="仿宋"/>
          <w:b w:val="0"/>
          <w:bCs w:val="0"/>
          <w:color w:val="auto"/>
          <w:sz w:val="28"/>
          <w:szCs w:val="28"/>
        </w:rPr>
      </w:pPr>
      <w:r>
        <w:rPr>
          <w:rFonts w:hint="eastAsia" w:ascii="仿宋" w:hAnsi="仿宋" w:eastAsia="仿宋" w:cs="仿宋"/>
          <w:b w:val="0"/>
          <w:bCs w:val="0"/>
          <w:color w:val="auto"/>
          <w:sz w:val="28"/>
          <w:szCs w:val="28"/>
          <w:lang w:val="en-US" w:eastAsia="zh-CN"/>
        </w:rPr>
        <w:t>5、</w:t>
      </w:r>
      <w:r>
        <w:rPr>
          <w:rFonts w:hint="eastAsia" w:ascii="仿宋" w:hAnsi="仿宋" w:eastAsia="仿宋" w:cs="仿宋"/>
          <w:b w:val="0"/>
          <w:bCs w:val="0"/>
          <w:color w:val="auto"/>
          <w:sz w:val="28"/>
          <w:szCs w:val="28"/>
        </w:rPr>
        <w:t>验收标准</w:t>
      </w:r>
      <w:r>
        <w:rPr>
          <w:rFonts w:hint="eastAsia" w:ascii="仿宋" w:hAnsi="仿宋" w:eastAsia="仿宋" w:cs="仿宋"/>
          <w:b w:val="0"/>
          <w:bCs w:val="0"/>
          <w:color w:val="auto"/>
          <w:sz w:val="28"/>
          <w:szCs w:val="28"/>
          <w:lang w:eastAsia="zh-CN"/>
        </w:rPr>
        <w:t>：</w:t>
      </w:r>
      <w:r>
        <w:rPr>
          <w:rFonts w:hint="eastAsia" w:ascii="仿宋" w:hAnsi="仿宋" w:eastAsia="仿宋" w:cs="仿宋"/>
          <w:b w:val="0"/>
          <w:bCs w:val="0"/>
          <w:color w:val="auto"/>
          <w:sz w:val="28"/>
          <w:szCs w:val="28"/>
          <w:highlight w:val="none"/>
          <w:lang w:val="en-US" w:eastAsia="zh-CN"/>
        </w:rPr>
        <w:t>通过国家和行业标准</w:t>
      </w:r>
      <w:bookmarkEnd w:id="1"/>
      <w:r>
        <w:rPr>
          <w:rFonts w:hint="eastAsia" w:ascii="仿宋" w:hAnsi="仿宋" w:eastAsia="仿宋" w:cs="仿宋"/>
          <w:b w:val="0"/>
          <w:bCs w:val="0"/>
          <w:color w:val="auto"/>
          <w:sz w:val="28"/>
          <w:szCs w:val="28"/>
          <w:highlight w:val="none"/>
          <w:lang w:val="en-US" w:eastAsia="zh-CN"/>
        </w:rPr>
        <w:t>。</w:t>
      </w:r>
    </w:p>
    <w:p>
      <w:pPr>
        <w:rPr>
          <w:color w:val="auto"/>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1"/>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590AFA9"/>
    <w:multiLevelType w:val="multilevel"/>
    <w:tmpl w:val="9590AFA9"/>
    <w:lvl w:ilvl="0" w:tentative="0">
      <w:start w:val="1"/>
      <w:numFmt w:val="none"/>
      <w:pStyle w:val="3"/>
      <w:lvlText w:val=""/>
      <w:lvlJc w:val="left"/>
      <w:pPr>
        <w:tabs>
          <w:tab w:val="left" w:pos="432"/>
        </w:tabs>
        <w:ind w:left="432" w:hanging="432"/>
      </w:pPr>
    </w:lvl>
    <w:lvl w:ilvl="1" w:tentative="0">
      <w:start w:val="1"/>
      <w:numFmt w:val="none"/>
      <w:lvlText w:val=" "/>
      <w:lvlJc w:val="left"/>
      <w:pPr>
        <w:tabs>
          <w:tab w:val="left" w:pos="576"/>
        </w:tabs>
        <w:ind w:left="576" w:hanging="576"/>
      </w:pPr>
    </w:lvl>
    <w:lvl w:ilvl="2" w:tentative="0">
      <w:start w:val="1"/>
      <w:numFmt w:val="none"/>
      <w:pStyle w:val="6"/>
      <w:lvlText w:val=""/>
      <w:lvlJc w:val="left"/>
      <w:pPr>
        <w:tabs>
          <w:tab w:val="left" w:pos="720"/>
        </w:tabs>
        <w:ind w:left="720" w:hanging="720"/>
      </w:pPr>
    </w:lvl>
    <w:lvl w:ilvl="3" w:tentative="0">
      <w:start w:val="1"/>
      <w:numFmt w:val="none"/>
      <w:lvlText w:val="    "/>
      <w:lvlJc w:val="left"/>
      <w:pPr>
        <w:tabs>
          <w:tab w:val="left" w:pos="864"/>
        </w:tabs>
        <w:ind w:left="864" w:hanging="864"/>
      </w:pPr>
    </w:lvl>
    <w:lvl w:ilvl="4" w:tentative="0">
      <w:start w:val="1"/>
      <w:numFmt w:val="none"/>
      <w:lvlText w:val="      "/>
      <w:lvlJc w:val="left"/>
      <w:pPr>
        <w:tabs>
          <w:tab w:val="left" w:pos="1008"/>
        </w:tabs>
        <w:ind w:left="1008" w:hanging="1008"/>
      </w:pPr>
    </w:lvl>
    <w:lvl w:ilvl="5" w:tentative="0">
      <w:start w:val="1"/>
      <w:numFmt w:val="none"/>
      <w:lvlText w:val="           "/>
      <w:lvlJc w:val="left"/>
      <w:pPr>
        <w:tabs>
          <w:tab w:val="left" w:pos="1440"/>
        </w:tabs>
        <w:ind w:left="1152" w:hanging="1152"/>
      </w:pPr>
    </w:lvl>
    <w:lvl w:ilvl="6" w:tentative="0">
      <w:start w:val="1"/>
      <w:numFmt w:val="decimal"/>
      <w:lvlText w:val="%1.%2.%3.%4.%5.%6.%7"/>
      <w:lvlJc w:val="left"/>
      <w:pPr>
        <w:tabs>
          <w:tab w:val="left" w:pos="2520"/>
        </w:tabs>
        <w:ind w:left="1296" w:hanging="1296"/>
      </w:pPr>
    </w:lvl>
    <w:lvl w:ilvl="7" w:tentative="0">
      <w:start w:val="1"/>
      <w:numFmt w:val="decimal"/>
      <w:lvlText w:val="%1.%2.%3.%4.%5.%6.%7.%8"/>
      <w:lvlJc w:val="left"/>
      <w:pPr>
        <w:tabs>
          <w:tab w:val="left" w:pos="1440"/>
        </w:tabs>
        <w:ind w:left="1440" w:hanging="1440"/>
      </w:pPr>
    </w:lvl>
    <w:lvl w:ilvl="8" w:tentative="0">
      <w:start w:val="1"/>
      <w:numFmt w:val="decimal"/>
      <w:lvlText w:val="%1.%2.%3.%4.%5.%6.%7.%8.%9"/>
      <w:lvlJc w:val="left"/>
      <w:pPr>
        <w:tabs>
          <w:tab w:val="left" w:pos="1584"/>
        </w:tabs>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5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UwYjkwYzhkYmQ4YmQ3ZjI4Y2E0NzJlYjE3YjNjMDAifQ=="/>
  </w:docVars>
  <w:rsids>
    <w:rsidRoot w:val="0C1B417C"/>
    <w:rsid w:val="02E02228"/>
    <w:rsid w:val="045E4692"/>
    <w:rsid w:val="06F469BB"/>
    <w:rsid w:val="0A5C2211"/>
    <w:rsid w:val="0A71361E"/>
    <w:rsid w:val="0C1B417C"/>
    <w:rsid w:val="106250A3"/>
    <w:rsid w:val="10D80231"/>
    <w:rsid w:val="110006C9"/>
    <w:rsid w:val="13C16619"/>
    <w:rsid w:val="155E0B40"/>
    <w:rsid w:val="20817646"/>
    <w:rsid w:val="210C5CAC"/>
    <w:rsid w:val="21956EA7"/>
    <w:rsid w:val="29430597"/>
    <w:rsid w:val="29886820"/>
    <w:rsid w:val="2B454B53"/>
    <w:rsid w:val="2D0E480C"/>
    <w:rsid w:val="2DF172B8"/>
    <w:rsid w:val="32346F6E"/>
    <w:rsid w:val="338F0990"/>
    <w:rsid w:val="358C2805"/>
    <w:rsid w:val="39DA0B3A"/>
    <w:rsid w:val="39F55439"/>
    <w:rsid w:val="3C4C5ED9"/>
    <w:rsid w:val="3D7D7E78"/>
    <w:rsid w:val="40584B2F"/>
    <w:rsid w:val="4C1A471A"/>
    <w:rsid w:val="520B162D"/>
    <w:rsid w:val="558A781D"/>
    <w:rsid w:val="55E324F9"/>
    <w:rsid w:val="59191044"/>
    <w:rsid w:val="5C245548"/>
    <w:rsid w:val="5CD77497"/>
    <w:rsid w:val="67780A3D"/>
    <w:rsid w:val="69F65D30"/>
    <w:rsid w:val="6A3F4EDF"/>
    <w:rsid w:val="711D2041"/>
    <w:rsid w:val="71645CEB"/>
    <w:rsid w:val="7F3F35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宋体" w:hAnsi="宋体" w:eastAsia="宋体" w:cstheme="minorBidi"/>
      <w:kern w:val="2"/>
      <w:sz w:val="28"/>
      <w:szCs w:val="24"/>
      <w:lang w:val="en-US" w:eastAsia="zh-CN" w:bidi="ar-SA"/>
    </w:rPr>
  </w:style>
  <w:style w:type="paragraph" w:styleId="3">
    <w:name w:val="heading 1"/>
    <w:basedOn w:val="1"/>
    <w:next w:val="1"/>
    <w:link w:val="12"/>
    <w:autoRedefine/>
    <w:qFormat/>
    <w:uiPriority w:val="0"/>
    <w:pPr>
      <w:keepNext/>
      <w:widowControl/>
      <w:numPr>
        <w:ilvl w:val="0"/>
        <w:numId w:val="1"/>
      </w:numPr>
      <w:ind w:left="432" w:hanging="432"/>
      <w:jc w:val="center"/>
      <w:outlineLvl w:val="0"/>
    </w:pPr>
    <w:rPr>
      <w:rFonts w:ascii="宋体" w:hAnsi="宋体" w:eastAsia="宋体" w:cs="宋体"/>
      <w:b/>
      <w:snapToGrid w:val="0"/>
      <w:color w:val="000000"/>
      <w:kern w:val="0"/>
      <w:sz w:val="32"/>
      <w:szCs w:val="20"/>
      <w:lang w:eastAsia="en-US"/>
    </w:rPr>
  </w:style>
  <w:style w:type="paragraph" w:styleId="4">
    <w:name w:val="heading 2"/>
    <w:basedOn w:val="1"/>
    <w:next w:val="5"/>
    <w:link w:val="13"/>
    <w:autoRedefine/>
    <w:semiHidden/>
    <w:unhideWhenUsed/>
    <w:qFormat/>
    <w:uiPriority w:val="0"/>
    <w:pPr>
      <w:keepNext/>
      <w:keepLines/>
      <w:widowControl/>
      <w:spacing w:line="240" w:lineRule="auto"/>
      <w:jc w:val="left"/>
      <w:outlineLvl w:val="1"/>
    </w:pPr>
    <w:rPr>
      <w:rFonts w:cs="Times New Roman" w:asciiTheme="minorEastAsia" w:hAnsiTheme="minorEastAsia" w:eastAsiaTheme="minorEastAsia"/>
      <w:b/>
      <w:snapToGrid w:val="0"/>
      <w:color w:val="000000"/>
      <w:kern w:val="0"/>
      <w:sz w:val="28"/>
      <w:szCs w:val="21"/>
      <w:lang w:eastAsia="en-US"/>
    </w:rPr>
  </w:style>
  <w:style w:type="paragraph" w:styleId="6">
    <w:name w:val="heading 3"/>
    <w:basedOn w:val="1"/>
    <w:next w:val="1"/>
    <w:autoRedefine/>
    <w:semiHidden/>
    <w:unhideWhenUsed/>
    <w:qFormat/>
    <w:uiPriority w:val="0"/>
    <w:pPr>
      <w:keepNext/>
      <w:keepLines/>
      <w:numPr>
        <w:ilvl w:val="2"/>
        <w:numId w:val="1"/>
      </w:numPr>
      <w:spacing w:beforeLines="0" w:beforeAutospacing="0" w:afterLines="0" w:afterAutospacing="0" w:line="240" w:lineRule="auto"/>
      <w:ind w:left="0" w:firstLine="0"/>
      <w:outlineLvl w:val="2"/>
    </w:pPr>
    <w:rPr>
      <w:rFonts w:ascii="宋体" w:hAnsi="宋体" w:eastAsia="宋体" w:cs="Arial"/>
      <w:snapToGrid w:val="0"/>
      <w:color w:val="000000"/>
      <w:sz w:val="24"/>
      <w:szCs w:val="21"/>
      <w:lang w:val="zh-CN" w:eastAsia="en-US" w:bidi="zh-CN"/>
    </w:rPr>
  </w:style>
  <w:style w:type="paragraph" w:styleId="7">
    <w:name w:val="heading 4"/>
    <w:basedOn w:val="1"/>
    <w:next w:val="1"/>
    <w:semiHidden/>
    <w:unhideWhenUsed/>
    <w:qFormat/>
    <w:uiPriority w:val="0"/>
    <w:pPr>
      <w:keepNext/>
      <w:keepLines/>
      <w:spacing w:beforeLines="0" w:beforeAutospacing="0" w:afterLines="0" w:afterAutospacing="0" w:line="240" w:lineRule="auto"/>
      <w:jc w:val="center"/>
      <w:outlineLvl w:val="3"/>
    </w:pPr>
    <w:rPr>
      <w:rFonts w:ascii="Arial" w:hAnsi="Arial" w:eastAsia="宋体" w:cs="Arial"/>
      <w:b/>
      <w:snapToGrid w:val="0"/>
      <w:color w:val="000000"/>
      <w:kern w:val="0"/>
      <w:sz w:val="28"/>
      <w:szCs w:val="21"/>
      <w:lang w:eastAsia="en-US"/>
    </w:rPr>
  </w:style>
  <w:style w:type="character" w:default="1" w:styleId="11">
    <w:name w:val="Default Paragraph Font"/>
    <w:autoRedefine/>
    <w:unhideWhenUsed/>
    <w:qFormat/>
    <w:uiPriority w:val="1"/>
  </w:style>
  <w:style w:type="table" w:default="1" w:styleId="10">
    <w:name w:val="Normal Table"/>
    <w:autoRedefine/>
    <w:semiHidden/>
    <w:qFormat/>
    <w:uiPriority w:val="0"/>
    <w:tblPr>
      <w:tblCellMar>
        <w:top w:w="0" w:type="dxa"/>
        <w:left w:w="108" w:type="dxa"/>
        <w:bottom w:w="0" w:type="dxa"/>
        <w:right w:w="108" w:type="dxa"/>
      </w:tblCellMar>
    </w:tblPr>
  </w:style>
  <w:style w:type="paragraph" w:styleId="2">
    <w:name w:val="Body Text"/>
    <w:basedOn w:val="1"/>
    <w:qFormat/>
    <w:uiPriority w:val="0"/>
    <w:pPr>
      <w:spacing w:after="120"/>
    </w:pPr>
  </w:style>
  <w:style w:type="paragraph" w:styleId="5">
    <w:name w:val="Normal Indent"/>
    <w:basedOn w:val="1"/>
    <w:autoRedefine/>
    <w:qFormat/>
    <w:uiPriority w:val="0"/>
    <w:pPr>
      <w:ind w:firstLine="420" w:firstLineChars="200"/>
    </w:pPr>
  </w:style>
  <w:style w:type="paragraph" w:styleId="8">
    <w:name w:val="Body Text Indent"/>
    <w:basedOn w:val="1"/>
    <w:autoRedefine/>
    <w:qFormat/>
    <w:uiPriority w:val="0"/>
    <w:pPr>
      <w:spacing w:after="120" w:afterLines="0" w:afterAutospacing="0"/>
      <w:ind w:left="420" w:leftChars="200"/>
    </w:pPr>
  </w:style>
  <w:style w:type="paragraph" w:styleId="9">
    <w:name w:val="Body Text First Indent 2"/>
    <w:basedOn w:val="8"/>
    <w:autoRedefine/>
    <w:qFormat/>
    <w:uiPriority w:val="0"/>
    <w:pPr>
      <w:ind w:firstLine="420" w:firstLineChars="200"/>
    </w:pPr>
  </w:style>
  <w:style w:type="character" w:customStyle="1" w:styleId="12">
    <w:name w:val="标题 1 字符"/>
    <w:link w:val="3"/>
    <w:autoRedefine/>
    <w:qFormat/>
    <w:uiPriority w:val="0"/>
    <w:rPr>
      <w:rFonts w:ascii="宋体" w:hAnsi="宋体" w:eastAsia="宋体" w:cs="宋体"/>
      <w:b/>
      <w:bCs/>
      <w:snapToGrid w:val="0"/>
      <w:color w:val="000000"/>
      <w:kern w:val="0"/>
      <w:sz w:val="32"/>
      <w:szCs w:val="44"/>
      <w:lang w:eastAsia="en-US"/>
    </w:rPr>
  </w:style>
  <w:style w:type="character" w:customStyle="1" w:styleId="13">
    <w:name w:val="标题 2 Char"/>
    <w:basedOn w:val="11"/>
    <w:link w:val="4"/>
    <w:autoRedefine/>
    <w:semiHidden/>
    <w:qFormat/>
    <w:uiPriority w:val="9"/>
    <w:rPr>
      <w:rFonts w:cs="Times New Roman" w:asciiTheme="minorEastAsia" w:hAnsiTheme="minorEastAsia" w:eastAsiaTheme="minorEastAsia"/>
      <w:b/>
      <w:bCs/>
      <w:snapToGrid w:val="0"/>
      <w:color w:val="000000"/>
      <w:kern w:val="0"/>
      <w:sz w:val="28"/>
      <w:szCs w:val="21"/>
      <w:lang w:eastAsia="en-U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Office_12.1.0.16412_F1E327BC-269C-435d-A152-05C5408002CA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2025-04-10T06:16:00Z</dcterms:created>
  <dc:creator>周敏</dc:creator>
  <cp:lastModifiedBy>周敏</cp:lastModifiedBy>
  <dcterms:modified xsi:type="dcterms:W3CDTF">2025-04-10T06:17:22Z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2052-12.1.0.16412</vt:lpwstr>
  </property>
  <property fmtid="{D5CDD505-2E9C-101B-9397-08002B2CF9AE}" pid="3" name="ICV">
    <vt:lpwstr>9B85C88BBAD44F669DB21B919AE285A8_11</vt:lpwstr>
  </property>
</Properties>
</file>