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F9E58">
      <w:pPr>
        <w:pStyle w:val="2"/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lang w:val="en-US" w:eastAsia="zh-CN"/>
        </w:rPr>
        <w:t>采购需求</w:t>
      </w:r>
    </w:p>
    <w:p w14:paraId="4C3E8209">
      <w:pPr>
        <w:spacing w:line="360" w:lineRule="auto"/>
        <w:ind w:firstLine="435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一、商务条款</w:t>
      </w:r>
    </w:p>
    <w:tbl>
      <w:tblPr>
        <w:tblStyle w:val="4"/>
        <w:tblW w:w="49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925"/>
        <w:gridCol w:w="5439"/>
      </w:tblGrid>
      <w:tr w14:paraId="3FC1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617" w:type="pct"/>
            <w:vAlign w:val="center"/>
          </w:tcPr>
          <w:p w14:paraId="209C5CEF">
            <w:pPr>
              <w:pStyle w:val="3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45" w:type="pct"/>
            <w:vAlign w:val="center"/>
          </w:tcPr>
          <w:p w14:paraId="5F404222">
            <w:pPr>
              <w:pStyle w:val="3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商务条款</w:t>
            </w:r>
          </w:p>
        </w:tc>
        <w:tc>
          <w:tcPr>
            <w:tcW w:w="3236" w:type="pct"/>
            <w:vAlign w:val="center"/>
          </w:tcPr>
          <w:p w14:paraId="788D914D">
            <w:pPr>
              <w:pStyle w:val="3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要求</w:t>
            </w:r>
          </w:p>
        </w:tc>
      </w:tr>
      <w:tr w14:paraId="5B41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7" w:type="pct"/>
            <w:vAlign w:val="center"/>
          </w:tcPr>
          <w:p w14:paraId="1430C8A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45" w:type="pct"/>
            <w:vAlign w:val="center"/>
          </w:tcPr>
          <w:p w14:paraId="41D4B85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3236" w:type="pct"/>
            <w:vAlign w:val="center"/>
          </w:tcPr>
          <w:p w14:paraId="0A04D3BD">
            <w:pPr>
              <w:spacing w:line="360" w:lineRule="exact"/>
              <w:ind w:left="-2"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投标供应商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供货完成后，提供正规税务发票和销售清单。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采购人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在验收结束后7个工作日内付款。</w:t>
            </w:r>
          </w:p>
        </w:tc>
      </w:tr>
      <w:tr w14:paraId="3B8C8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7" w:type="pct"/>
            <w:vAlign w:val="center"/>
          </w:tcPr>
          <w:p w14:paraId="717B3DE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145" w:type="pct"/>
            <w:vAlign w:val="center"/>
          </w:tcPr>
          <w:p w14:paraId="3D2CB29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供货地点</w:t>
            </w:r>
          </w:p>
        </w:tc>
        <w:tc>
          <w:tcPr>
            <w:tcW w:w="3236" w:type="pct"/>
            <w:vAlign w:val="center"/>
          </w:tcPr>
          <w:p w14:paraId="09501581">
            <w:pPr>
              <w:spacing w:line="360" w:lineRule="exact"/>
              <w:ind w:left="-2" w:firstLine="480" w:firstLineChars="200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安庆市迎江区秦潭路1号</w:t>
            </w:r>
          </w:p>
        </w:tc>
      </w:tr>
      <w:tr w14:paraId="7E397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7" w:type="pct"/>
            <w:vAlign w:val="center"/>
          </w:tcPr>
          <w:p w14:paraId="30053A4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145" w:type="pct"/>
            <w:vAlign w:val="center"/>
          </w:tcPr>
          <w:p w14:paraId="5813438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供货期限</w:t>
            </w:r>
          </w:p>
        </w:tc>
        <w:tc>
          <w:tcPr>
            <w:tcW w:w="3236" w:type="pct"/>
            <w:vAlign w:val="center"/>
          </w:tcPr>
          <w:p w14:paraId="4B5C7886">
            <w:pPr>
              <w:spacing w:line="360" w:lineRule="exact"/>
              <w:ind w:left="-2" w:firstLine="480" w:firstLineChars="200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投标供应商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按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采购人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要求，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2026年2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日前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按采购人要求分批次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配送采购物品至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采购人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指定地点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并对采购套餐进行分装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。</w:t>
            </w:r>
          </w:p>
        </w:tc>
      </w:tr>
    </w:tbl>
    <w:p w14:paraId="286A7EA1">
      <w:pPr>
        <w:spacing w:line="360" w:lineRule="auto"/>
        <w:ind w:firstLine="435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二、</w:t>
      </w:r>
      <w:bookmarkStart w:id="0" w:name="_Toc22728"/>
      <w:bookmarkStart w:id="1" w:name="_Toc10379"/>
      <w:bookmarkStart w:id="2" w:name="_Toc20068"/>
      <w:bookmarkStart w:id="3" w:name="_Toc490682725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货物需求</w:t>
      </w:r>
      <w:bookmarkEnd w:id="0"/>
      <w:bookmarkEnd w:id="1"/>
      <w:bookmarkEnd w:id="2"/>
      <w:bookmarkEnd w:id="3"/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2039"/>
        <w:gridCol w:w="656"/>
        <w:gridCol w:w="656"/>
        <w:gridCol w:w="1316"/>
        <w:gridCol w:w="3076"/>
      </w:tblGrid>
      <w:tr w14:paraId="1BD12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52CE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558B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具体商品信息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3B4A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6F14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7888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3609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推荐品牌</w:t>
            </w:r>
          </w:p>
        </w:tc>
      </w:tr>
      <w:tr w14:paraId="06C95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 套餐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174份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五香卤牛腱（200g*3）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恒都；双汇；苏食</w:t>
            </w:r>
          </w:p>
        </w:tc>
      </w:tr>
      <w:tr w14:paraId="44508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43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风干鸭翅中（200g）每袋12个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良品铺子；王小焗；陈阿炳</w:t>
            </w:r>
          </w:p>
        </w:tc>
      </w:tr>
      <w:tr w14:paraId="2B85E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F6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香卤猪头肉（320g）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大红门；双汇；徽食 </w:t>
            </w:r>
          </w:p>
        </w:tc>
      </w:tr>
      <w:tr w14:paraId="7775B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8E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老卤鸡翅根（40g*8袋）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20.15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乡巴佬；旺家福；滇二娃</w:t>
            </w:r>
          </w:p>
        </w:tc>
      </w:tr>
      <w:tr w14:paraId="59C1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5D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73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A0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13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01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D9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5B2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0F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酱香鸡胗（20个）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京喜；汉盛堂；菜鸟联萌</w:t>
            </w:r>
          </w:p>
        </w:tc>
      </w:tr>
      <w:tr w14:paraId="4D65F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75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B2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14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47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43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75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6A3E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7A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每日坚果（750g）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洽洽；三只松鼠；百草味</w:t>
            </w:r>
          </w:p>
        </w:tc>
      </w:tr>
      <w:tr w14:paraId="336E3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F6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蜜饯混合装（杨梅干 42g×5 + 相思梅 42g×5）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华味亨；贵妃驾到；牧果人 </w:t>
            </w:r>
          </w:p>
        </w:tc>
      </w:tr>
      <w:tr w14:paraId="02773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EF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原味青梅（180g）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溜溜梅；农夫山庄；颜派 </w:t>
            </w:r>
          </w:p>
        </w:tc>
      </w:tr>
      <w:tr w14:paraId="086C4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5B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冰皮蛋糕（500g）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京喜；比比赞；百草味 </w:t>
            </w:r>
          </w:p>
        </w:tc>
      </w:tr>
      <w:tr w14:paraId="5AA10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E2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醇熟切片面包（900g）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桃李；达利园；曼可顿 </w:t>
            </w:r>
          </w:p>
        </w:tc>
      </w:tr>
      <w:tr w14:paraId="4FB32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FB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瑞士卷（520g）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达利园；鲜达仓仓；kinhisa </w:t>
            </w:r>
          </w:p>
        </w:tc>
      </w:tr>
      <w:tr w14:paraId="1AC63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48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法式小面包（360g）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盼盼；达利园；三辉麦风 </w:t>
            </w:r>
          </w:p>
        </w:tc>
      </w:tr>
      <w:tr w14:paraId="45CCF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84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魔芋爽混合装（100g/10 包））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卫龙；盐津铺子；鸡装箱</w:t>
            </w:r>
          </w:p>
        </w:tc>
      </w:tr>
      <w:tr w14:paraId="3D1E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FE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微麻微辣款（106g）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麻辣王子；卫龙；比比赞 </w:t>
            </w:r>
          </w:p>
        </w:tc>
      </w:tr>
      <w:tr w14:paraId="6E62C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DD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老式大辣片（100g）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源氏；顾湘；笑辣辣 </w:t>
            </w:r>
          </w:p>
        </w:tc>
      </w:tr>
      <w:tr w14:paraId="2BE73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23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大豆筋（120g）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源氏；宏旺；邬辣妈 </w:t>
            </w:r>
          </w:p>
        </w:tc>
      </w:tr>
      <w:tr w14:paraId="56F22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 套餐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五香卤牛腱（200g*3）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恒都；双汇；苏食</w:t>
            </w:r>
          </w:p>
        </w:tc>
      </w:tr>
      <w:tr w14:paraId="654EA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19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  <w:t xml:space="preserve"> 酱卤鸭翅（115g）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良品铺子；盐津铺子；口口香 </w:t>
            </w:r>
          </w:p>
        </w:tc>
      </w:tr>
      <w:tr w14:paraId="65881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CF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  <w:t xml:space="preserve"> 香卤猪头肉（450g）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大红门；双汇；徽食 </w:t>
            </w:r>
          </w:p>
        </w:tc>
      </w:tr>
      <w:tr w14:paraId="11670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C2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奥尔良鸡腿（270g）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三只松鼠；小石头；盐津铺子</w:t>
            </w:r>
          </w:p>
        </w:tc>
      </w:tr>
      <w:tr w14:paraId="326C2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64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  <w:t xml:space="preserve"> 泡凤爪（230g）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有友；君哥；凰巢 </w:t>
            </w:r>
          </w:p>
        </w:tc>
      </w:tr>
      <w:tr w14:paraId="10E19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03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每日坚果礼盒（600g）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洽洽；三只松鼠；百草味 </w:t>
            </w:r>
          </w:p>
        </w:tc>
      </w:tr>
      <w:tr w14:paraId="5EDA1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0B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蜜饯混合装（杨梅干 42g×10 + 话梅干 42g×10）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华味亨；贵妃驾到；牧果人 </w:t>
            </w:r>
          </w:p>
        </w:tc>
      </w:tr>
      <w:tr w14:paraId="5B6AD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1E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全家福大礼包（518g）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溜溜梅；梅与一切；农夫山庄 </w:t>
            </w:r>
          </w:p>
        </w:tc>
      </w:tr>
      <w:tr w14:paraId="4389C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3D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B1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1E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8C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B1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D9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B582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E3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瑞士卷（520g）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达利园；鲜达仓仓；kinhisa </w:t>
            </w:r>
          </w:p>
        </w:tc>
      </w:tr>
      <w:tr w14:paraId="21B0A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49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  <w:t xml:space="preserve"> 纯蛋糕（900g）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桃李；比比赞；豪士 </w:t>
            </w:r>
          </w:p>
        </w:tc>
      </w:tr>
      <w:tr w14:paraId="71319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17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软面包（360g）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盼盼；达利园；港荣 </w:t>
            </w:r>
          </w:p>
        </w:tc>
      </w:tr>
      <w:tr w14:paraId="764C7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DD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  <w:t xml:space="preserve"> 魔芋爽混合装（100g/10 包））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卫龙；盐津铺子；鸡装箱</w:t>
            </w:r>
          </w:p>
        </w:tc>
      </w:tr>
      <w:tr w14:paraId="2AA17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22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  <w:t xml:space="preserve"> 微麻微辣款（106g）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麻辣王子；卫龙；比比赞 </w:t>
            </w:r>
          </w:p>
        </w:tc>
      </w:tr>
      <w:tr w14:paraId="6D3FF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D5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老式大辣片（100g）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源氏；顾湘；笑辣辣 </w:t>
            </w:r>
          </w:p>
        </w:tc>
      </w:tr>
      <w:tr w14:paraId="314F1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20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大豆筋（120g）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源氏；宏旺；邬辣妈 </w:t>
            </w:r>
          </w:p>
        </w:tc>
      </w:tr>
    </w:tbl>
    <w:p w14:paraId="10412D0C">
      <w:pPr>
        <w:spacing w:line="360" w:lineRule="auto"/>
        <w:ind w:firstLine="435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三、技术要求</w:t>
      </w:r>
    </w:p>
    <w:p w14:paraId="614188E0">
      <w:pPr>
        <w:spacing w:line="360" w:lineRule="auto"/>
        <w:ind w:firstLine="435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采购食品类型为独立包装和真空包装食品。提供商品须符合国家法律规定的产品执行标准并且有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食品经营许可证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619AF0CE">
      <w:pPr>
        <w:spacing w:line="360" w:lineRule="auto"/>
        <w:ind w:firstLine="435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2.成交单位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配送食品剩余保质期不低于保质期的2/3。</w:t>
      </w:r>
    </w:p>
    <w:p w14:paraId="3183ED26">
      <w:pPr>
        <w:spacing w:line="360" w:lineRule="auto"/>
        <w:ind w:firstLine="435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3.成交单位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应严格履行商品供货合同，保证商品及时供应。</w:t>
      </w:r>
    </w:p>
    <w:p w14:paraId="321935FD">
      <w:pPr>
        <w:spacing w:line="360" w:lineRule="auto"/>
        <w:ind w:firstLine="435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4.成交单位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必须自行完成经营任务，严禁分包、转包，一经发现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有权终止合同，并以全部履约保证金冲抵违约金。食品的进货验收的品种、数量、质量、规格以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投标供应商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送至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单位验收后为准。对不符合合同约定的商品。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有权拒收。</w:t>
      </w:r>
    </w:p>
    <w:p w14:paraId="6E5B3B6E">
      <w:pPr>
        <w:spacing w:line="360" w:lineRule="auto"/>
        <w:ind w:firstLine="435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5.成交单位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如不能按时交货，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有权终止合作。</w:t>
      </w:r>
    </w:p>
    <w:p w14:paraId="66700B46">
      <w:pPr>
        <w:spacing w:line="360" w:lineRule="auto"/>
        <w:ind w:firstLine="435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6.成交单位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所供食品必须符合国家有关产品质量的法律法规的规定，严禁假冒伪劣、“三无”（无生产日期、无质量合格证、无生产厂家）的商品。</w:t>
      </w:r>
    </w:p>
    <w:p w14:paraId="3FB7F6E0">
      <w:pPr>
        <w:spacing w:line="360" w:lineRule="auto"/>
        <w:ind w:firstLine="435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为保障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安全稳定，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成交单位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提供商品不得使用玻璃、金属外包装。</w:t>
      </w:r>
    </w:p>
    <w:p w14:paraId="1B65DF68">
      <w:pPr>
        <w:spacing w:line="360" w:lineRule="auto"/>
        <w:ind w:firstLine="435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8.成交单位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的商品价格包括因商品产生的采购、供应、包装、装卸、保险、保存、运输、验收等一系列费用，所发生的税、费等支出项目由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投标供应商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全部承担，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概不负责。</w:t>
      </w:r>
    </w:p>
    <w:p w14:paraId="18CE7F27">
      <w:pPr>
        <w:spacing w:line="360" w:lineRule="auto"/>
        <w:ind w:firstLine="435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9.成交单位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必须按照合同约定的经营服务承诺履行相关义务。配送的食品必须认真筛选，严格溯源，索票索证，确保食品安全。因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成交单位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的原因造成食品安全等事故的，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有权立即解除合同，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成交单位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负全部责任，并承担由此造成的经济损失及可能发生的法律责任。</w:t>
      </w:r>
    </w:p>
    <w:p w14:paraId="094FDD6B"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采购人推荐产品的品牌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和规格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并非指定，仅供参考，投标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在投标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文件中可以选用其他品牌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和规格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的产品，但这种替代产品质量上要相当于或优于推荐参考的品牌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和规格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。投标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选用其他品牌参与本次投标的，须提供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“产品替代说明（格式自拟）”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该替代产品优于本次参考品牌的有效质量证明资料。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 w:eastAsia="宋体" w:cs="宋体"/>
      <w:szCs w:val="22"/>
    </w:rPr>
  </w:style>
  <w:style w:type="character" w:customStyle="1" w:styleId="6">
    <w:name w:val="font1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2026-01-09T06:29:49Z</dcterms:created>
  <dc:creator>Administrator</dc:creator>
  <cp:lastModifiedBy>周敏</cp:lastModifiedBy>
  <dcterms:modified xsi:type="dcterms:W3CDTF">2026-01-09T06:29:53Z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eyJoZGlkIjoiOTY0NjBjMDRkMTI4NDg4ZjUxMDc3ODI1NmIwYjQyNjgiLCJ1c2VySWQiOiIzNjExNTk2MDQifQ==</vt:lpwstr>
  </property>
  <property fmtid="{D5CDD505-2E9C-101B-9397-08002B2CF9AE}" pid="4" name="ICV">
    <vt:lpwstr>95E7019A738F4B919C22FA95BAC65D9B_12</vt:lpwstr>
  </property>
</Properties>
</file>