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8A5C">
      <w:pPr>
        <w:spacing w:line="360" w:lineRule="auto"/>
        <w:ind w:firstLine="437"/>
        <w:jc w:val="center"/>
        <w:outlineLvl w:val="0"/>
        <w:rPr>
          <w:rFonts w:hint="default" w:ascii="FangSong" w:hAnsi="FangSong" w:eastAsia="FangSong" w:cs="FangSong"/>
          <w:b/>
          <w:color w:val="000000" w:themeColor="text1"/>
          <w:sz w:val="32"/>
          <w:szCs w:val="21"/>
          <w:highlight w:val="none"/>
          <w:lang w:val="en-US" w:eastAsia="zh-CN"/>
          <w14:textFill>
            <w14:solidFill>
              <w14:schemeClr w14:val="tx1"/>
            </w14:solidFill>
          </w14:textFill>
        </w:rPr>
      </w:pPr>
      <w:r>
        <w:rPr>
          <w:rFonts w:hint="eastAsia" w:ascii="FangSong" w:hAnsi="FangSong" w:eastAsia="FangSong" w:cs="FangSong"/>
          <w:b/>
          <w:color w:val="000000" w:themeColor="text1"/>
          <w:sz w:val="32"/>
          <w:szCs w:val="21"/>
          <w:highlight w:val="none"/>
          <w:lang w:val="en-US" w:eastAsia="zh-CN"/>
          <w14:textFill>
            <w14:solidFill>
              <w14:schemeClr w14:val="tx1"/>
            </w14:solidFill>
          </w14:textFill>
        </w:rPr>
        <w:t xml:space="preserve"> 采购需求</w:t>
      </w:r>
    </w:p>
    <w:p w14:paraId="6CBE0BE6">
      <w:pPr>
        <w:spacing w:line="360" w:lineRule="auto"/>
        <w:ind w:firstLine="437"/>
        <w:outlineLvl w:val="1"/>
        <w:rPr>
          <w:rFonts w:hint="eastAsia" w:ascii="FangSong" w:hAnsi="FangSong" w:eastAsia="FangSong" w:cs="FangSong"/>
          <w:b/>
          <w:color w:val="000000" w:themeColor="text1"/>
          <w:sz w:val="24"/>
          <w:szCs w:val="18"/>
          <w:highlight w:val="none"/>
          <w14:textFill>
            <w14:solidFill>
              <w14:schemeClr w14:val="tx1"/>
            </w14:solidFill>
          </w14:textFill>
        </w:rPr>
      </w:pPr>
      <w:r>
        <w:rPr>
          <w:rFonts w:hint="eastAsia" w:ascii="FangSong" w:hAnsi="FangSong" w:eastAsia="FangSong" w:cs="FangSong"/>
          <w:b/>
          <w:color w:val="000000" w:themeColor="text1"/>
          <w:sz w:val="24"/>
          <w:szCs w:val="18"/>
          <w:highlight w:val="none"/>
          <w14:textFill>
            <w14:solidFill>
              <w14:schemeClr w14:val="tx1"/>
            </w14:solidFill>
          </w14:textFill>
        </w:rPr>
        <w:t>一、采购需求前附表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EE7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0970D0A">
            <w:pPr>
              <w:pStyle w:val="7"/>
              <w:pBdr>
                <w:bottom w:val="none" w:color="auto" w:sz="0" w:space="0"/>
              </w:pBdr>
              <w:tabs>
                <w:tab w:val="clear" w:pos="4153"/>
                <w:tab w:val="clear" w:pos="8306"/>
              </w:tabs>
              <w:adjustRightInd/>
              <w:spacing w:line="240" w:lineRule="auto"/>
              <w:textAlignment w:val="auto"/>
              <w:rPr>
                <w:rFonts w:hint="eastAsia" w:ascii="FangSong" w:hAnsi="FangSong" w:eastAsia="FangSong" w:cs="FangSong"/>
                <w:b/>
                <w:color w:val="000000" w:themeColor="text1"/>
                <w:kern w:val="2"/>
                <w:highlight w:val="none"/>
                <w14:textFill>
                  <w14:solidFill>
                    <w14:schemeClr w14:val="tx1"/>
                  </w14:solidFill>
                </w14:textFill>
              </w:rPr>
            </w:pPr>
            <w:bookmarkStart w:id="0" w:name="_Hlk16461016"/>
            <w:r>
              <w:rPr>
                <w:rFonts w:hint="eastAsia" w:ascii="FangSong" w:hAnsi="FangSong" w:eastAsia="FangSong" w:cs="FangSong"/>
                <w:b/>
                <w:color w:val="000000" w:themeColor="text1"/>
                <w:kern w:val="2"/>
                <w:highlight w:val="none"/>
                <w14:textFill>
                  <w14:solidFill>
                    <w14:schemeClr w14:val="tx1"/>
                  </w14:solidFill>
                </w14:textFill>
              </w:rPr>
              <w:t>序号</w:t>
            </w:r>
          </w:p>
        </w:tc>
        <w:tc>
          <w:tcPr>
            <w:tcW w:w="1192" w:type="pct"/>
            <w:vAlign w:val="center"/>
          </w:tcPr>
          <w:p w14:paraId="5E1F307F">
            <w:pPr>
              <w:pStyle w:val="8"/>
              <w:widowControl w:val="0"/>
              <w:spacing w:before="0" w:beforeAutospacing="0" w:after="0" w:afterAutospacing="0" w:line="360" w:lineRule="auto"/>
              <w:rPr>
                <w:rFonts w:hint="eastAsia" w:ascii="FangSong" w:hAnsi="FangSong" w:eastAsia="FangSong" w:cs="FangSong"/>
                <w:bCs w:val="0"/>
                <w:color w:val="000000" w:themeColor="text1"/>
                <w:sz w:val="24"/>
                <w:highlight w:val="none"/>
                <w14:textFill>
                  <w14:solidFill>
                    <w14:schemeClr w14:val="tx1"/>
                  </w14:solidFill>
                </w14:textFill>
              </w:rPr>
            </w:pPr>
            <w:r>
              <w:rPr>
                <w:rFonts w:hint="eastAsia" w:ascii="FangSong" w:hAnsi="FangSong" w:eastAsia="FangSong" w:cs="FangSong"/>
                <w:bCs w:val="0"/>
                <w:color w:val="000000" w:themeColor="text1"/>
                <w:sz w:val="24"/>
                <w:highlight w:val="none"/>
                <w14:textFill>
                  <w14:solidFill>
                    <w14:schemeClr w14:val="tx1"/>
                  </w14:solidFill>
                </w14:textFill>
              </w:rPr>
              <w:t>条款名称</w:t>
            </w:r>
          </w:p>
        </w:tc>
        <w:tc>
          <w:tcPr>
            <w:tcW w:w="3217" w:type="pct"/>
            <w:vAlign w:val="center"/>
          </w:tcPr>
          <w:p w14:paraId="11C8F75B">
            <w:pPr>
              <w:pStyle w:val="8"/>
              <w:widowControl w:val="0"/>
              <w:spacing w:before="0" w:beforeAutospacing="0" w:after="0" w:afterAutospacing="0" w:line="360" w:lineRule="auto"/>
              <w:rPr>
                <w:rFonts w:hint="eastAsia" w:ascii="FangSong" w:hAnsi="FangSong" w:eastAsia="FangSong" w:cs="FangSong"/>
                <w:bCs w:val="0"/>
                <w:color w:val="000000" w:themeColor="text1"/>
                <w:sz w:val="24"/>
                <w:highlight w:val="none"/>
                <w14:textFill>
                  <w14:solidFill>
                    <w14:schemeClr w14:val="tx1"/>
                  </w14:solidFill>
                </w14:textFill>
              </w:rPr>
            </w:pPr>
            <w:r>
              <w:rPr>
                <w:rFonts w:hint="eastAsia" w:ascii="FangSong" w:hAnsi="FangSong" w:eastAsia="FangSong" w:cs="FangSong"/>
                <w:bCs w:val="0"/>
                <w:color w:val="000000" w:themeColor="text1"/>
                <w:sz w:val="24"/>
                <w:highlight w:val="none"/>
                <w14:textFill>
                  <w14:solidFill>
                    <w14:schemeClr w14:val="tx1"/>
                  </w14:solidFill>
                </w14:textFill>
              </w:rPr>
              <w:t>内容、说明与要求</w:t>
            </w:r>
          </w:p>
        </w:tc>
      </w:tr>
      <w:tr w14:paraId="208F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90" w:type="pct"/>
            <w:vAlign w:val="center"/>
          </w:tcPr>
          <w:p w14:paraId="14E03C03">
            <w:pPr>
              <w:pStyle w:val="7"/>
              <w:pBdr>
                <w:bottom w:val="none" w:color="auto" w:sz="0" w:space="0"/>
              </w:pBdr>
              <w:tabs>
                <w:tab w:val="clear" w:pos="4153"/>
                <w:tab w:val="clear" w:pos="8306"/>
              </w:tabs>
              <w:adjustRightInd/>
              <w:spacing w:line="240" w:lineRule="auto"/>
              <w:textAlignment w:val="auto"/>
              <w:rPr>
                <w:rFonts w:hint="eastAsia" w:ascii="FangSong" w:hAnsi="FangSong" w:eastAsia="FangSong" w:cs="FangSong"/>
                <w:bCs/>
                <w:color w:val="000000" w:themeColor="text1"/>
                <w:kern w:val="2"/>
                <w:highlight w:val="none"/>
                <w14:textFill>
                  <w14:solidFill>
                    <w14:schemeClr w14:val="tx1"/>
                  </w14:solidFill>
                </w14:textFill>
              </w:rPr>
            </w:pPr>
            <w:r>
              <w:rPr>
                <w:rFonts w:hint="eastAsia" w:ascii="FangSong" w:hAnsi="FangSong" w:eastAsia="FangSong" w:cs="FangSong"/>
                <w:bCs/>
                <w:color w:val="000000" w:themeColor="text1"/>
                <w:kern w:val="2"/>
                <w:highlight w:val="none"/>
                <w14:textFill>
                  <w14:solidFill>
                    <w14:schemeClr w14:val="tx1"/>
                  </w14:solidFill>
                </w14:textFill>
              </w:rPr>
              <w:t>1</w:t>
            </w:r>
          </w:p>
        </w:tc>
        <w:tc>
          <w:tcPr>
            <w:tcW w:w="1192" w:type="pct"/>
            <w:vAlign w:val="center"/>
          </w:tcPr>
          <w:p w14:paraId="15F21A3A">
            <w:pPr>
              <w:pStyle w:val="8"/>
              <w:widowControl w:val="0"/>
              <w:spacing w:before="0" w:beforeAutospacing="0" w:after="0" w:afterAutospacing="0" w:line="360" w:lineRule="auto"/>
              <w:rPr>
                <w:rFonts w:hint="eastAsia" w:ascii="FangSong" w:hAnsi="FangSong" w:eastAsia="FangSong" w:cs="FangSong"/>
                <w:b w:val="0"/>
                <w:color w:val="000000" w:themeColor="text1"/>
                <w:sz w:val="24"/>
                <w:highlight w:val="none"/>
                <w14:textFill>
                  <w14:solidFill>
                    <w14:schemeClr w14:val="tx1"/>
                  </w14:solidFill>
                </w14:textFill>
              </w:rPr>
            </w:pPr>
            <w:r>
              <w:rPr>
                <w:rFonts w:hint="eastAsia" w:ascii="FangSong" w:hAnsi="FangSong" w:eastAsia="FangSong" w:cs="FangSong"/>
                <w:b w:val="0"/>
                <w:color w:val="000000" w:themeColor="text1"/>
                <w:sz w:val="24"/>
                <w:highlight w:val="none"/>
                <w14:textFill>
                  <w14:solidFill>
                    <w14:schemeClr w14:val="tx1"/>
                  </w14:solidFill>
                </w14:textFill>
              </w:rPr>
              <w:t>付款方式</w:t>
            </w:r>
          </w:p>
        </w:tc>
        <w:tc>
          <w:tcPr>
            <w:tcW w:w="3217" w:type="pct"/>
            <w:vAlign w:val="center"/>
          </w:tcPr>
          <w:p w14:paraId="091FB44A">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FangSong" w:hAnsi="FangSong" w:eastAsia="FangSong" w:cs="FangSong"/>
                <w:b w:val="0"/>
                <w:color w:val="000000" w:themeColor="text1"/>
                <w:sz w:val="24"/>
                <w:highlight w:val="none"/>
                <w:u w:val="single"/>
                <w14:textFill>
                  <w14:solidFill>
                    <w14:schemeClr w14:val="tx1"/>
                  </w14:solidFill>
                </w14:textFill>
              </w:rPr>
            </w:pPr>
            <w:r>
              <w:rPr>
                <w:rFonts w:hint="eastAsia" w:ascii="FangSong" w:hAnsi="FangSong" w:eastAsia="FangSong" w:cs="FangSong"/>
                <w:color w:val="000000" w:themeColor="text1"/>
                <w:sz w:val="24"/>
                <w:szCs w:val="24"/>
                <w:highlight w:val="none"/>
                <w14:textFill>
                  <w14:solidFill>
                    <w14:schemeClr w14:val="tx1"/>
                  </w14:solidFill>
                </w14:textFill>
              </w:rPr>
              <w:t>签订合同后制定实施方案，经采购人认可后支付合同金额的30%；所有工作任务完成后提交工作总结报告，经专家评估项目合格后支付剩余合同价款。</w:t>
            </w:r>
          </w:p>
        </w:tc>
      </w:tr>
      <w:tr w14:paraId="1A9B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8ABCEF8">
            <w:pPr>
              <w:pStyle w:val="7"/>
              <w:pBdr>
                <w:bottom w:val="none" w:color="auto" w:sz="0" w:space="0"/>
              </w:pBdr>
              <w:tabs>
                <w:tab w:val="clear" w:pos="4153"/>
                <w:tab w:val="clear" w:pos="8306"/>
              </w:tabs>
              <w:adjustRightInd/>
              <w:spacing w:line="240" w:lineRule="auto"/>
              <w:textAlignment w:val="auto"/>
              <w:rPr>
                <w:rFonts w:hint="eastAsia" w:ascii="FangSong" w:hAnsi="FangSong" w:eastAsia="FangSong" w:cs="FangSong"/>
                <w:bCs/>
                <w:color w:val="000000" w:themeColor="text1"/>
                <w:kern w:val="2"/>
                <w:highlight w:val="none"/>
                <w14:textFill>
                  <w14:solidFill>
                    <w14:schemeClr w14:val="tx1"/>
                  </w14:solidFill>
                </w14:textFill>
              </w:rPr>
            </w:pPr>
            <w:r>
              <w:rPr>
                <w:rFonts w:hint="eastAsia" w:ascii="FangSong" w:hAnsi="FangSong" w:eastAsia="FangSong" w:cs="FangSong"/>
                <w:bCs/>
                <w:color w:val="000000" w:themeColor="text1"/>
                <w:kern w:val="2"/>
                <w:highlight w:val="none"/>
                <w14:textFill>
                  <w14:solidFill>
                    <w14:schemeClr w14:val="tx1"/>
                  </w14:solidFill>
                </w14:textFill>
              </w:rPr>
              <w:t>2</w:t>
            </w:r>
          </w:p>
        </w:tc>
        <w:tc>
          <w:tcPr>
            <w:tcW w:w="1192" w:type="pct"/>
            <w:vAlign w:val="center"/>
          </w:tcPr>
          <w:p w14:paraId="4D6B70EC">
            <w:pPr>
              <w:pStyle w:val="8"/>
              <w:widowControl w:val="0"/>
              <w:spacing w:before="0" w:beforeAutospacing="0" w:after="0" w:afterAutospacing="0" w:line="360" w:lineRule="auto"/>
              <w:rPr>
                <w:rFonts w:hint="eastAsia" w:ascii="FangSong" w:hAnsi="FangSong" w:eastAsia="FangSong" w:cs="FangSong"/>
                <w:b w:val="0"/>
                <w:color w:val="000000" w:themeColor="text1"/>
                <w:sz w:val="24"/>
                <w:highlight w:val="none"/>
                <w14:textFill>
                  <w14:solidFill>
                    <w14:schemeClr w14:val="tx1"/>
                  </w14:solidFill>
                </w14:textFill>
              </w:rPr>
            </w:pPr>
            <w:r>
              <w:rPr>
                <w:rFonts w:hint="eastAsia" w:ascii="FangSong" w:hAnsi="FangSong" w:eastAsia="FangSong" w:cs="FangSong"/>
                <w:b w:val="0"/>
                <w:color w:val="000000" w:themeColor="text1"/>
                <w:sz w:val="24"/>
                <w:highlight w:val="none"/>
                <w14:textFill>
                  <w14:solidFill>
                    <w14:schemeClr w14:val="tx1"/>
                  </w14:solidFill>
                </w14:textFill>
              </w:rPr>
              <w:t>服务地点</w:t>
            </w:r>
          </w:p>
        </w:tc>
        <w:tc>
          <w:tcPr>
            <w:tcW w:w="3217" w:type="pct"/>
            <w:vAlign w:val="center"/>
          </w:tcPr>
          <w:p w14:paraId="37C0A3A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FangSong" w:hAnsi="FangSong" w:eastAsia="FangSong" w:cs="FangSong"/>
                <w:b w:val="0"/>
                <w:color w:val="000000" w:themeColor="text1"/>
                <w:sz w:val="24"/>
                <w:highlight w:val="none"/>
                <w:lang w:val="en-US"/>
                <w14:textFill>
                  <w14:solidFill>
                    <w14:schemeClr w14:val="tx1"/>
                  </w14:solidFill>
                </w14:textFill>
              </w:rPr>
            </w:pPr>
            <w:r>
              <w:rPr>
                <w:rFonts w:hint="eastAsia" w:ascii="FangSong" w:hAnsi="FangSong" w:eastAsia="FangSong" w:cs="FangSong"/>
                <w:b w:val="0"/>
                <w:color w:val="000000" w:themeColor="text1"/>
                <w:sz w:val="24"/>
                <w:highlight w:val="none"/>
                <w:u w:val="none"/>
                <w:lang w:val="en-US" w:eastAsia="zh-CN"/>
                <w14:textFill>
                  <w14:solidFill>
                    <w14:schemeClr w14:val="tx1"/>
                  </w14:solidFill>
                </w14:textFill>
              </w:rPr>
              <w:t>安庆市</w:t>
            </w:r>
            <w:bookmarkStart w:id="1" w:name="_GoBack"/>
            <w:bookmarkEnd w:id="1"/>
          </w:p>
        </w:tc>
      </w:tr>
      <w:tr w14:paraId="7709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4D3D7D1">
            <w:pPr>
              <w:pStyle w:val="7"/>
              <w:pBdr>
                <w:bottom w:val="none" w:color="auto" w:sz="0" w:space="0"/>
              </w:pBdr>
              <w:tabs>
                <w:tab w:val="clear" w:pos="4153"/>
                <w:tab w:val="clear" w:pos="8306"/>
              </w:tabs>
              <w:adjustRightInd/>
              <w:spacing w:line="240" w:lineRule="auto"/>
              <w:textAlignment w:val="auto"/>
              <w:rPr>
                <w:rFonts w:hint="eastAsia" w:ascii="FangSong" w:hAnsi="FangSong" w:eastAsia="FangSong" w:cs="FangSong"/>
                <w:bCs/>
                <w:color w:val="000000" w:themeColor="text1"/>
                <w:kern w:val="2"/>
                <w:highlight w:val="none"/>
                <w14:textFill>
                  <w14:solidFill>
                    <w14:schemeClr w14:val="tx1"/>
                  </w14:solidFill>
                </w14:textFill>
              </w:rPr>
            </w:pPr>
            <w:r>
              <w:rPr>
                <w:rFonts w:hint="eastAsia" w:ascii="FangSong" w:hAnsi="FangSong" w:eastAsia="FangSong" w:cs="FangSong"/>
                <w:bCs/>
                <w:color w:val="000000" w:themeColor="text1"/>
                <w:kern w:val="2"/>
                <w:highlight w:val="none"/>
                <w14:textFill>
                  <w14:solidFill>
                    <w14:schemeClr w14:val="tx1"/>
                  </w14:solidFill>
                </w14:textFill>
              </w:rPr>
              <w:t>3</w:t>
            </w:r>
          </w:p>
        </w:tc>
        <w:tc>
          <w:tcPr>
            <w:tcW w:w="1192" w:type="pct"/>
            <w:vAlign w:val="center"/>
          </w:tcPr>
          <w:p w14:paraId="053566D2">
            <w:pPr>
              <w:pStyle w:val="8"/>
              <w:widowControl w:val="0"/>
              <w:spacing w:before="0" w:beforeAutospacing="0" w:after="0" w:afterAutospacing="0" w:line="360" w:lineRule="auto"/>
              <w:rPr>
                <w:rFonts w:hint="eastAsia" w:ascii="FangSong" w:hAnsi="FangSong" w:eastAsia="FangSong" w:cs="FangSong"/>
                <w:b w:val="0"/>
                <w:color w:val="000000" w:themeColor="text1"/>
                <w:sz w:val="24"/>
                <w:highlight w:val="none"/>
                <w14:textFill>
                  <w14:solidFill>
                    <w14:schemeClr w14:val="tx1"/>
                  </w14:solidFill>
                </w14:textFill>
              </w:rPr>
            </w:pPr>
            <w:r>
              <w:rPr>
                <w:rFonts w:hint="eastAsia" w:ascii="FangSong" w:hAnsi="FangSong" w:eastAsia="FangSong" w:cs="FangSong"/>
                <w:b w:val="0"/>
                <w:color w:val="000000" w:themeColor="text1"/>
                <w:sz w:val="24"/>
                <w:highlight w:val="none"/>
                <w:lang w:eastAsia="zh-CN"/>
                <w14:textFill>
                  <w14:solidFill>
                    <w14:schemeClr w14:val="tx1"/>
                  </w14:solidFill>
                </w14:textFill>
              </w:rPr>
              <w:t>履行</w:t>
            </w:r>
            <w:r>
              <w:rPr>
                <w:rFonts w:hint="eastAsia" w:ascii="FangSong" w:hAnsi="FangSong" w:eastAsia="FangSong" w:cs="FangSong"/>
                <w:b w:val="0"/>
                <w:color w:val="000000" w:themeColor="text1"/>
                <w:sz w:val="24"/>
                <w:highlight w:val="none"/>
                <w14:textFill>
                  <w14:solidFill>
                    <w14:schemeClr w14:val="tx1"/>
                  </w14:solidFill>
                </w14:textFill>
              </w:rPr>
              <w:t>期限</w:t>
            </w:r>
          </w:p>
        </w:tc>
        <w:tc>
          <w:tcPr>
            <w:tcW w:w="3217" w:type="pct"/>
            <w:vAlign w:val="center"/>
          </w:tcPr>
          <w:p w14:paraId="2E0C4F7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FangSong" w:hAnsi="FangSong" w:eastAsia="FangSong" w:cs="FangSong"/>
                <w:b w:val="0"/>
                <w:color w:val="000000" w:themeColor="text1"/>
                <w:sz w:val="24"/>
                <w:highlight w:val="none"/>
                <w14:textFill>
                  <w14:solidFill>
                    <w14:schemeClr w14:val="tx1"/>
                  </w14:solidFill>
                </w14:textFill>
              </w:rPr>
            </w:pPr>
            <w:r>
              <w:rPr>
                <w:rFonts w:hint="eastAsia" w:ascii="FangSong" w:hAnsi="FangSong" w:eastAsia="FangSong" w:cs="FangSong"/>
                <w:b w:val="0"/>
                <w:color w:val="auto"/>
                <w:sz w:val="24"/>
                <w:highlight w:val="none"/>
              </w:rPr>
              <w:t>2026-2028年。</w:t>
            </w:r>
          </w:p>
        </w:tc>
      </w:tr>
    </w:tbl>
    <w:p w14:paraId="750DCEC6">
      <w:pPr>
        <w:spacing w:line="360" w:lineRule="auto"/>
        <w:ind w:firstLine="437"/>
        <w:outlineLvl w:val="1"/>
        <w:rPr>
          <w:rFonts w:hint="eastAsia" w:ascii="FangSong" w:hAnsi="FangSong" w:eastAsia="FangSong" w:cs="FangSong"/>
          <w:b/>
          <w:color w:val="000000" w:themeColor="text1"/>
          <w:sz w:val="24"/>
          <w:szCs w:val="18"/>
          <w:highlight w:val="none"/>
          <w14:textFill>
            <w14:solidFill>
              <w14:schemeClr w14:val="tx1"/>
            </w14:solidFill>
          </w14:textFill>
        </w:rPr>
      </w:pPr>
      <w:r>
        <w:rPr>
          <w:rFonts w:hint="eastAsia" w:ascii="FangSong" w:hAnsi="FangSong" w:eastAsia="FangSong" w:cs="FangSong"/>
          <w:b/>
          <w:color w:val="000000" w:themeColor="text1"/>
          <w:sz w:val="24"/>
          <w:szCs w:val="18"/>
          <w:highlight w:val="none"/>
          <w:lang w:val="en-US" w:eastAsia="zh-CN"/>
          <w14:textFill>
            <w14:solidFill>
              <w14:schemeClr w14:val="tx1"/>
            </w14:solidFill>
          </w14:textFill>
        </w:rPr>
        <w:t>二、</w:t>
      </w:r>
      <w:r>
        <w:rPr>
          <w:rFonts w:hint="eastAsia" w:ascii="FangSong" w:hAnsi="FangSong" w:eastAsia="FangSong" w:cs="FangSong"/>
          <w:b/>
          <w:color w:val="000000" w:themeColor="text1"/>
          <w:sz w:val="24"/>
          <w:szCs w:val="18"/>
          <w:highlight w:val="none"/>
          <w14:textFill>
            <w14:solidFill>
              <w14:schemeClr w14:val="tx1"/>
            </w14:solidFill>
          </w14:textFill>
        </w:rPr>
        <w:t>服务需求</w:t>
      </w:r>
      <w:bookmarkEnd w:id="0"/>
    </w:p>
    <w:p w14:paraId="39C49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FangSong" w:hAnsi="FangSong" w:eastAsia="FangSong" w:cs="FangSong"/>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基于长江安庆河段治理工程对长江安庆段长吻鮠大口鲶鳜鱼保护区影响，如河床底质改变、洲滩植被破坏和底栖生物的损失等，在保护区施工水域岸边及洲滩开展保护区工程区域生态修复，包括植被恢复和底栖动物增殖，以补偿相应的生物量损失。</w:t>
      </w:r>
    </w:p>
    <w:p w14:paraId="3B778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FangSong" w:hAnsi="FangSong" w:eastAsia="FangSong" w:cs="FangSong"/>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1.底栖动物增殖。2026年4-10月或2027年4-10月，在官洲段新中汊及洲滩沿岸带浅水区域，投放螺类（中华圆田螺）不少于4吨，规格不小于1cm；投放河蚬不少于10万只，规格不小于0.5cm。成活率超过90%。经专家确定品种和成活率达标后，一次性投放。供应商报价应包括运输、过磅、组织实施及公证费用。螺、蚬投放以后，供应商看护时间不少于24小时，确保螺、蚬游离集中投放水域。</w:t>
      </w:r>
    </w:p>
    <w:p w14:paraId="5A261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FangSong" w:hAnsi="FangSong" w:eastAsia="FangSong" w:cs="FangSong"/>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2.湿地植被修复。2027年春季，在官洲段新中汊及广成圩沿岸，根据当地浅滩植被类型，种植芦苇、菖蒲等水生植物，每亩不少于5000株，株高不低于15厘米，总种植面积不少于20亩。按规范养护，直至合同期满，期间确保存活率达90%。供应商报价应包括苗种成本、组织实施费用、除虫防病等。</w:t>
      </w:r>
    </w:p>
    <w:p w14:paraId="4F455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FangSong" w:hAnsi="FangSong" w:eastAsia="FangSong" w:cs="FangSong"/>
          <w:color w:val="000000" w:themeColor="text1"/>
          <w:sz w:val="24"/>
          <w:highlight w:val="none"/>
          <w:lang w:val="en-US" w:eastAsia="zh-CN"/>
          <w14:textFill>
            <w14:solidFill>
              <w14:schemeClr w14:val="tx1"/>
            </w14:solidFill>
          </w14:textFill>
        </w:rPr>
      </w:pPr>
      <w:r>
        <w:rPr>
          <w:rFonts w:hint="eastAsia" w:ascii="FangSong" w:hAnsi="FangSong" w:eastAsia="FangSong" w:cs="FangSong"/>
          <w:color w:val="000000" w:themeColor="text1"/>
          <w:sz w:val="24"/>
          <w:highlight w:val="none"/>
          <w:lang w:val="en-US" w:eastAsia="zh-CN"/>
          <w14:textFill>
            <w14:solidFill>
              <w14:schemeClr w14:val="tx1"/>
            </w14:solidFill>
          </w14:textFill>
        </w:rPr>
        <w:t>3.湿地植被修复结束进入养护期，2027年底验收工程量和存活率，如种植品种、工程量和存活率达不到要求，需进行补种，养护期向后顺延，直至验收合格。因项目专业性较强，验收时由采购人邀请科研院所或高等院校相关专业专家参与验收工作，验收所产生的专家劳务等相关费用已包含在供应商投标报价中，供应商在报价时应综合测算、自主考虑，采购人不再另行支付。本项目严格按照采购合同、采购文件、响应文件及国家、行业相关标准规范开展验收，并出具验收意见。</w:t>
      </w:r>
    </w:p>
    <w:p w14:paraId="4EB1AB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91165"/>
    <w:rsid w:val="50CF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qFormat/>
    <w:uiPriority w:val="0"/>
    <w:pPr>
      <w:spacing w:after="120"/>
      <w:ind w:left="420" w:leftChars="200"/>
    </w:p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734</Words>
  <Characters>782</Characters>
  <Lines>0</Lines>
  <Paragraphs>0</Paragraphs>
  <TotalTime>0</TotalTime>
  <ScaleCrop>false</ScaleCrop>
  <LinksUpToDate>false</LinksUpToDate>
  <CharactersWithSpaces>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2026-04-17T05:20:00Z</dcterms:created>
  <dc:creator>Administrator</dc:creator>
  <cp:lastModifiedBy>沫、若微笑</cp:lastModifiedBy>
  <dcterms:modified xsi:type="dcterms:W3CDTF">2026-04-22T00:15:06Z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eyJoZGlkIjoiZTliOGFkOTI3OWE4NTA5NmRhN2Q0YTY1NmE3MjU5Y2IiLCJ1c2VySWQiOiIxMjg3NTM2Mjc5In0=</vt:lpwstr>
  </property>
  <property fmtid="{D5CDD505-2E9C-101B-9397-08002B2CF9AE}" pid="4" name="ICV">
    <vt:lpwstr>192A31BA552B4039A41D675381D96D98_12</vt:lpwstr>
  </property>
</Properties>
</file>